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80" w:type="dxa"/>
        <w:tblInd w:w="0" w:type="dxa"/>
        <w:tblLayout w:type="fixed"/>
        <w:tblCellMar>
          <w:top w:w="0" w:type="dxa"/>
          <w:left w:w="0" w:type="dxa"/>
          <w:bottom w:w="0" w:type="dxa"/>
          <w:right w:w="0" w:type="dxa"/>
        </w:tblCellMar>
      </w:tblPr>
      <w:tblGrid>
        <w:gridCol w:w="508"/>
        <w:gridCol w:w="1480"/>
        <w:gridCol w:w="5910"/>
        <w:gridCol w:w="545"/>
        <w:gridCol w:w="4265"/>
        <w:gridCol w:w="530"/>
        <w:gridCol w:w="442"/>
      </w:tblGrid>
      <w:tr>
        <w:tblPrEx>
          <w:tblCellMar>
            <w:top w:w="0" w:type="dxa"/>
            <w:left w:w="0" w:type="dxa"/>
            <w:bottom w:w="0" w:type="dxa"/>
            <w:right w:w="0" w:type="dxa"/>
          </w:tblCellMar>
        </w:tblPrEx>
        <w:trPr>
          <w:trHeight w:val="400" w:hRule="atLeast"/>
        </w:trPr>
        <w:tc>
          <w:tcPr>
            <w:tcW w:w="13680" w:type="dxa"/>
            <w:gridSpan w:val="7"/>
            <w:tcBorders>
              <w:top w:val="nil"/>
              <w:left w:val="nil"/>
              <w:bottom w:val="nil"/>
              <w:right w:val="nil"/>
            </w:tcBorders>
            <w:shd w:val="clear" w:color="auto" w:fill="auto"/>
            <w:tcMar>
              <w:top w:w="15" w:type="dxa"/>
              <w:left w:w="15" w:type="dxa"/>
              <w:right w:w="15" w:type="dxa"/>
            </w:tcMar>
            <w:vAlign w:val="center"/>
          </w:tcPr>
          <w:p>
            <w:pPr>
              <w:rPr>
                <w:rFonts w:ascii="宋体" w:hAnsi="宋体" w:cs="宋体"/>
                <w:color w:val="000000"/>
                <w:sz w:val="24"/>
                <w:szCs w:val="24"/>
              </w:rPr>
            </w:pPr>
            <w:bookmarkStart w:id="0" w:name="_GoBack"/>
            <w:bookmarkEnd w:id="0"/>
            <w:r>
              <w:rPr>
                <w:rFonts w:hint="eastAsia" w:ascii="黑体" w:hAnsi="宋体" w:eastAsia="黑体" w:cs="黑体"/>
                <w:color w:val="000000"/>
                <w:kern w:val="0"/>
                <w:sz w:val="28"/>
                <w:szCs w:val="28"/>
              </w:rPr>
              <w:t>附件：1</w:t>
            </w:r>
          </w:p>
        </w:tc>
      </w:tr>
      <w:tr>
        <w:tblPrEx>
          <w:tblCellMar>
            <w:top w:w="0" w:type="dxa"/>
            <w:left w:w="0" w:type="dxa"/>
            <w:bottom w:w="0" w:type="dxa"/>
            <w:right w:w="0" w:type="dxa"/>
          </w:tblCellMar>
        </w:tblPrEx>
        <w:trPr>
          <w:trHeight w:val="596" w:hRule="atLeast"/>
        </w:trPr>
        <w:tc>
          <w:tcPr>
            <w:tcW w:w="13680"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40"/>
                <w:szCs w:val="40"/>
              </w:rPr>
              <w:t>四平市</w:t>
            </w:r>
            <w:r>
              <w:rPr>
                <w:rFonts w:hint="eastAsia" w:ascii="方正小标宋简体" w:hAnsi="方正小标宋简体" w:eastAsia="方正小标宋简体" w:cs="方正小标宋简体"/>
                <w:color w:val="000000"/>
                <w:kern w:val="0"/>
                <w:sz w:val="40"/>
                <w:szCs w:val="40"/>
              </w:rPr>
              <w:t>农业农村局</w:t>
            </w:r>
            <w:r>
              <w:rPr>
                <w:rFonts w:ascii="方正小标宋简体" w:hAnsi="方正小标宋简体" w:eastAsia="方正小标宋简体" w:cs="方正小标宋简体"/>
                <w:color w:val="000000"/>
                <w:kern w:val="0"/>
                <w:sz w:val="40"/>
                <w:szCs w:val="40"/>
              </w:rPr>
              <w:t>随机抽查事项清单</w:t>
            </w:r>
          </w:p>
        </w:tc>
      </w:tr>
      <w:tr>
        <w:tblPrEx>
          <w:tblCellMar>
            <w:top w:w="0" w:type="dxa"/>
            <w:left w:w="0" w:type="dxa"/>
            <w:bottom w:w="0" w:type="dxa"/>
            <w:right w:w="0" w:type="dxa"/>
          </w:tblCellMar>
        </w:tblPrEx>
        <w:trPr>
          <w:trHeight w:val="90" w:hRule="atLeast"/>
        </w:trPr>
        <w:tc>
          <w:tcPr>
            <w:tcW w:w="13680" w:type="dxa"/>
            <w:gridSpan w:val="7"/>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填报部门：（盖章）                                                                       日期：202</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日</w:t>
            </w:r>
          </w:p>
        </w:tc>
      </w:tr>
      <w:tr>
        <w:tblPrEx>
          <w:tblCellMar>
            <w:top w:w="0" w:type="dxa"/>
            <w:left w:w="0" w:type="dxa"/>
            <w:bottom w:w="0" w:type="dxa"/>
            <w:right w:w="0" w:type="dxa"/>
          </w:tblCellMar>
        </w:tblPrEx>
        <w:trPr>
          <w:trHeight w:val="1099"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抽查事项名称</w:t>
            </w:r>
          </w:p>
        </w:tc>
        <w:tc>
          <w:tcPr>
            <w:tcW w:w="5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抽查依据</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抽查主体</w:t>
            </w: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抽查内容</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抽查方式</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备  注</w:t>
            </w:r>
          </w:p>
        </w:tc>
      </w:tr>
      <w:tr>
        <w:tblPrEx>
          <w:tblCellMar>
            <w:top w:w="0" w:type="dxa"/>
            <w:left w:w="0" w:type="dxa"/>
            <w:bottom w:w="0" w:type="dxa"/>
            <w:right w:w="0" w:type="dxa"/>
          </w:tblCellMar>
        </w:tblPrEx>
        <w:trPr>
          <w:trHeight w:val="1927"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18"/>
                <w:szCs w:val="18"/>
              </w:rPr>
              <w:t>农产品质量安全监督抽查</w:t>
            </w:r>
          </w:p>
        </w:tc>
        <w:tc>
          <w:tcPr>
            <w:tcW w:w="5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18"/>
                <w:szCs w:val="18"/>
              </w:rPr>
              <w:t>《中华人民共和国农产品质量安全法》（20</w:t>
            </w:r>
            <w:r>
              <w:rPr>
                <w:rFonts w:hint="eastAsia" w:ascii="宋体" w:hAnsi="宋体" w:cs="宋体"/>
                <w:color w:val="000000"/>
                <w:kern w:val="0"/>
                <w:sz w:val="18"/>
                <w:szCs w:val="18"/>
                <w:lang w:val="en-US" w:eastAsia="zh-CN"/>
              </w:rPr>
              <w:t>18年修订</w:t>
            </w:r>
            <w:r>
              <w:rPr>
                <w:rFonts w:hint="eastAsia" w:ascii="宋体" w:hAnsi="宋体" w:cs="宋体"/>
                <w:color w:val="000000"/>
                <w:kern w:val="0"/>
                <w:sz w:val="18"/>
                <w:szCs w:val="18"/>
              </w:rPr>
              <w:t>）第三十四条：国家建立农产品质量安全监测制度。县级以上人民政府农业行政主管部门应当按照保障农产品质量的要求，制定并组织实施农产品质量安全监测计划，对生产中或者市场上销售的农产品进行监督抽查。</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18"/>
                <w:szCs w:val="18"/>
              </w:rPr>
              <w:t>市农业农村局</w:t>
            </w: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18"/>
                <w:szCs w:val="18"/>
              </w:rPr>
              <w:t>对生产、销售的农产品进行现场检查，调查了解农产品质量安全的有关情况，查阅、复制与农产品质量安全有关的记录和其他资料；对经检测不符合农产品质量安全标准的农产品，有权查封、扣押。</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定期或不定期</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126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农作物种子行政执法抽查</w:t>
            </w:r>
          </w:p>
        </w:tc>
        <w:tc>
          <w:tcPr>
            <w:tcW w:w="5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《中华人民共和国种子法》（2</w:t>
            </w:r>
            <w:r>
              <w:rPr>
                <w:rFonts w:hint="eastAsia" w:ascii="宋体" w:hAnsi="宋体" w:cs="宋体"/>
                <w:color w:val="000000"/>
                <w:kern w:val="0"/>
                <w:sz w:val="18"/>
                <w:szCs w:val="18"/>
                <w:lang w:val="en-US" w:eastAsia="zh-CN"/>
              </w:rPr>
              <w:t>021</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修订</w:t>
            </w:r>
            <w:r>
              <w:rPr>
                <w:rFonts w:hint="eastAsia" w:ascii="宋体" w:hAnsi="宋体" w:cs="宋体"/>
                <w:color w:val="000000"/>
                <w:kern w:val="0"/>
                <w:sz w:val="18"/>
                <w:szCs w:val="18"/>
              </w:rPr>
              <w:t>）                                                                                第</w:t>
            </w:r>
            <w:r>
              <w:rPr>
                <w:rFonts w:hint="eastAsia" w:ascii="宋体" w:hAnsi="宋体" w:cs="宋体"/>
                <w:color w:val="000000"/>
                <w:kern w:val="0"/>
                <w:sz w:val="18"/>
                <w:szCs w:val="18"/>
                <w:lang w:eastAsia="zh-CN"/>
              </w:rPr>
              <w:t>四十九</w:t>
            </w:r>
            <w:r>
              <w:rPr>
                <w:rFonts w:hint="eastAsia" w:ascii="宋体" w:hAnsi="宋体" w:cs="宋体"/>
                <w:color w:val="000000"/>
                <w:kern w:val="0"/>
                <w:sz w:val="18"/>
                <w:szCs w:val="18"/>
              </w:rPr>
              <w:t>条 农业、林业主管部门是种子行政执法机关。种子执法人员依法执行公务时应当出示行政执法证件……农业、林业主管部门所属的综合执法机构或者受其委托的种子管理机构，可以开展种子执法相关工作。</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农作物种子生产、经营者的生产、经营实施现场检查；种子质量进行抽样检查；种子进销货台账、票据进行查阅、复印等。</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定期或不定期</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415"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农药监督检查</w:t>
            </w:r>
          </w:p>
        </w:tc>
        <w:tc>
          <w:tcPr>
            <w:tcW w:w="5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农药管理条例（20</w:t>
            </w:r>
            <w:r>
              <w:rPr>
                <w:rFonts w:hint="eastAsia" w:ascii="宋体" w:hAnsi="宋体" w:cs="宋体"/>
                <w:color w:val="000000"/>
                <w:kern w:val="0"/>
                <w:sz w:val="18"/>
                <w:szCs w:val="18"/>
                <w:lang w:val="en-US" w:eastAsia="zh-CN"/>
              </w:rPr>
              <w:t>22年修订</w:t>
            </w:r>
            <w:r>
              <w:rPr>
                <w:rFonts w:hint="eastAsia" w:ascii="宋体" w:hAnsi="宋体" w:cs="宋体"/>
                <w:color w:val="000000"/>
                <w:kern w:val="0"/>
                <w:sz w:val="18"/>
                <w:szCs w:val="18"/>
              </w:rPr>
              <w:t>）第三条国务院农业主管部门负责全国的农药监督管理工作。县级以上地方人民政府农业主管部门负责本行政区域的农药监督管理工作。县级以上人民政府其他有关部门在各自职责范围内负责有关的农药监督管理工作。</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按照规定对辖区内的农药生产、经营和使用单位的农药进行定期和不定期监督、检查，必要时按照规定抽取样品和索取有关资料，有关单位和个人不得拒绝和隐瞒。</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定期或不定期</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2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4</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18"/>
                <w:szCs w:val="18"/>
              </w:rPr>
              <w:t>肥料监督检查</w:t>
            </w:r>
          </w:p>
        </w:tc>
        <w:tc>
          <w:tcPr>
            <w:tcW w:w="5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肥料登记管理办法（</w:t>
            </w:r>
            <w:r>
              <w:rPr>
                <w:rFonts w:hint="eastAsia" w:ascii="宋体" w:hAnsi="宋体" w:cs="宋体"/>
                <w:color w:val="000000"/>
                <w:kern w:val="0"/>
                <w:sz w:val="18"/>
                <w:szCs w:val="18"/>
                <w:lang w:val="en-US" w:eastAsia="zh-CN"/>
              </w:rPr>
              <w:t>2022年修订</w:t>
            </w:r>
            <w:r>
              <w:rPr>
                <w:rFonts w:hint="eastAsia" w:ascii="宋体" w:hAnsi="宋体" w:cs="宋体"/>
                <w:color w:val="000000"/>
                <w:kern w:val="0"/>
                <w:sz w:val="18"/>
                <w:szCs w:val="18"/>
              </w:rPr>
              <w:t>）                                                                第</w:t>
            </w:r>
            <w:r>
              <w:rPr>
                <w:rFonts w:hint="eastAsia" w:ascii="宋体" w:hAnsi="宋体" w:cs="宋体"/>
                <w:color w:val="000000"/>
                <w:kern w:val="0"/>
                <w:sz w:val="18"/>
                <w:szCs w:val="18"/>
                <w:lang w:eastAsia="zh-CN"/>
              </w:rPr>
              <w:t>六</w:t>
            </w:r>
            <w:r>
              <w:rPr>
                <w:rFonts w:hint="eastAsia" w:ascii="宋体" w:hAnsi="宋体" w:cs="宋体"/>
                <w:color w:val="000000"/>
                <w:kern w:val="0"/>
                <w:sz w:val="18"/>
                <w:szCs w:val="18"/>
              </w:rPr>
              <w:t>条 农业农村部负责全国肥料登记、备案和监督管理工作。省、自治区、直辖市人民政府农业农村主管部门协助农业农村部做好本行政区域内的肥料登记、备案工作。县级以上地方人民政府农业农村主管部门负责本行政区域内的肥料监督管理工作。督管理工作。</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定期或不定期</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426"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渔业执法检查</w:t>
            </w:r>
          </w:p>
        </w:tc>
        <w:tc>
          <w:tcPr>
            <w:tcW w:w="5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中华人民共和国渔业法（2013年修</w:t>
            </w:r>
            <w:r>
              <w:rPr>
                <w:rFonts w:hint="eastAsia" w:ascii="宋体" w:hAnsi="宋体" w:cs="宋体"/>
                <w:color w:val="000000"/>
                <w:kern w:val="0"/>
                <w:sz w:val="18"/>
                <w:szCs w:val="18"/>
                <w:lang w:eastAsia="zh-CN"/>
              </w:rPr>
              <w:t>订</w:t>
            </w:r>
            <w:r>
              <w:rPr>
                <w:rFonts w:hint="eastAsia" w:ascii="宋体" w:hAnsi="宋体" w:cs="宋体"/>
                <w:color w:val="000000"/>
                <w:kern w:val="0"/>
                <w:sz w:val="18"/>
                <w:szCs w:val="18"/>
              </w:rPr>
              <w:t>）第六条国务院渔业行政主管部门主管全国的渔业工作。县级以上地方人民政府渔业行政主管部门主管本行政区域内的渔业工作。县级以上人民政府渔业行政主管部门可以在重要渔业水域、渔港设渔政监督管理机构。县级以上人民政府渔业行政主管部门及其所属的渔政监督管理机构可以设渔政检查人员。渔政检查人员执行渔业行政主管部门及其所属的渔政监督管理机构交付的任务。</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对辖区内的渔业行业进行定期或不定期监督、检查，对使用炸鱼、毒鱼、电鱼等破坏渔业资源方法进行捕捞的，违反关于禁渔区、禁渔期的规定进行捕捞的，或者使用禁用渔具的，制造、销售禁用的渔具的。偷捕、抢夺他人养殖的水产品的，或者破坏他人养殖水体、养殖设施的。　非法生产、进口、出口水产苗种的。未依法取得捕捞许可证擅自进行捕捞的等。</w:t>
            </w:r>
          </w:p>
        </w:tc>
        <w:tc>
          <w:tcPr>
            <w:tcW w:w="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定期或不定期</w:t>
            </w:r>
          </w:p>
        </w:tc>
        <w:tc>
          <w:tcPr>
            <w:tcW w:w="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szCs w:val="24"/>
              </w:rPr>
            </w:pPr>
          </w:p>
        </w:tc>
      </w:tr>
      <w:tr>
        <w:tblPrEx>
          <w:tblCellMar>
            <w:top w:w="0" w:type="dxa"/>
            <w:left w:w="0" w:type="dxa"/>
            <w:bottom w:w="0" w:type="dxa"/>
            <w:right w:w="0" w:type="dxa"/>
          </w:tblCellMar>
        </w:tblPrEx>
        <w:trPr>
          <w:trHeight w:val="1188" w:hRule="atLeast"/>
        </w:trPr>
        <w:tc>
          <w:tcPr>
            <w:tcW w:w="5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6</w:t>
            </w:r>
          </w:p>
        </w:tc>
        <w:tc>
          <w:tcPr>
            <w:tcW w:w="14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宋体" w:hAnsi="宋体" w:cs="宋体"/>
                <w:color w:val="000000"/>
                <w:kern w:val="0"/>
                <w:sz w:val="18"/>
                <w:szCs w:val="18"/>
              </w:rPr>
              <w:t>兽药监督检查</w:t>
            </w:r>
          </w:p>
        </w:tc>
        <w:tc>
          <w:tcPr>
            <w:tcW w:w="59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《兽药管理条例》（</w:t>
            </w:r>
            <w:r>
              <w:rPr>
                <w:rFonts w:hint="eastAsia" w:ascii="宋体" w:hAnsi="宋体" w:cs="宋体"/>
                <w:color w:val="000000"/>
                <w:kern w:val="0"/>
                <w:sz w:val="18"/>
                <w:szCs w:val="18"/>
                <w:lang w:val="en-US" w:eastAsia="zh-CN"/>
              </w:rPr>
              <w:t>2020年</w:t>
            </w:r>
            <w:r>
              <w:rPr>
                <w:rFonts w:hint="eastAsia" w:ascii="宋体" w:hAnsi="宋体" w:cs="宋体"/>
                <w:color w:val="000000"/>
                <w:kern w:val="0"/>
                <w:sz w:val="18"/>
                <w:szCs w:val="18"/>
              </w:rPr>
              <w:t>修订）                                                   第三条 国务院兽医行政管理部门负责全国的兽药监督管理工作。</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县级以上地方人民政府兽医行政管理部门负责本行政区域内的兽药监督管理工作。</w:t>
            </w:r>
          </w:p>
        </w:tc>
        <w:tc>
          <w:tcPr>
            <w:tcW w:w="5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兽药生产企业、兽药经营企业、兽药使用企业的卫生安全防护、消毒、隔离、兽药使用和制度执行等情况。</w:t>
            </w:r>
          </w:p>
        </w:tc>
        <w:tc>
          <w:tcPr>
            <w:tcW w:w="5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18"/>
                <w:szCs w:val="18"/>
              </w:rPr>
              <w:t>定期或不定期</w:t>
            </w:r>
          </w:p>
        </w:tc>
        <w:tc>
          <w:tcPr>
            <w:tcW w:w="4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7</w:t>
            </w:r>
          </w:p>
        </w:tc>
        <w:tc>
          <w:tcPr>
            <w:tcW w:w="1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pPr>
            <w:r>
              <w:rPr>
                <w:rFonts w:hint="eastAsia" w:ascii="宋体" w:hAnsi="宋体" w:cs="宋体"/>
                <w:color w:val="000000"/>
                <w:kern w:val="0"/>
                <w:sz w:val="18"/>
                <w:szCs w:val="18"/>
              </w:rPr>
              <w:t>生猪屠宰环节监督检查</w:t>
            </w:r>
          </w:p>
        </w:tc>
        <w:tc>
          <w:tcPr>
            <w:tcW w:w="5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《国务院办公厅关于加强农产品质量安全监管工作的通知》（国办发〔2013〕106号 四、加强畜禽屠宰环节监管 各地区要按照国务院机构改革和职能转变工作的要求，做好生猪定点屠宰监管职责调整工作，涉及的职能等要及时划转到位，确保各项工作有序衔接。各级畜牧兽医部门要认真落实畜禽屠宰环节质量安全监管职责，强化畜禽屠宰厂（场）的质量安全主体责任，督促其落实进厂（场）检查登记、检验等制度，严格巡查抽检，坚决杜绝屠宰病死动物、注水等行为。”</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屠宰主体资格；屠宰设施设备条件屠宰规章制度执行情况；台帐制度建立情况；屠宰行为规范情况；检验规范情况。</w:t>
            </w:r>
          </w:p>
        </w:tc>
        <w:tc>
          <w:tcPr>
            <w:tcW w:w="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 w:val="18"/>
                <w:szCs w:val="18"/>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18"/>
                <w:szCs w:val="18"/>
              </w:rPr>
              <w:t>8</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rPr>
              <w:t>饲料和饲料添加剂监督检查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《饲料和饲料添加剂管理条例》(</w:t>
            </w:r>
            <w:r>
              <w:rPr>
                <w:rFonts w:hint="eastAsia" w:ascii="宋体" w:hAnsi="宋体" w:cs="宋体"/>
                <w:color w:val="000000"/>
                <w:kern w:val="0"/>
                <w:sz w:val="18"/>
                <w:szCs w:val="18"/>
                <w:lang w:val="en-US" w:eastAsia="zh-CN"/>
              </w:rPr>
              <w:t>2017年</w:t>
            </w:r>
            <w:r>
              <w:rPr>
                <w:rFonts w:hint="eastAsia" w:ascii="宋体" w:hAnsi="宋体" w:cs="宋体"/>
                <w:color w:val="000000"/>
                <w:kern w:val="0"/>
                <w:sz w:val="18"/>
                <w:szCs w:val="18"/>
              </w:rPr>
              <w:t>修订)                                   第三十二条第一款：第三十二条</w:t>
            </w:r>
          </w:p>
          <w:p>
            <w:pPr>
              <w:widowControl/>
              <w:jc w:val="left"/>
              <w:textAlignment w:val="center"/>
            </w:pPr>
            <w:r>
              <w:rPr>
                <w:rFonts w:hint="eastAsia" w:ascii="宋体" w:hAnsi="宋体" w:cs="宋体"/>
                <w:color w:val="000000"/>
                <w:kern w:val="0"/>
                <w:sz w:val="18"/>
                <w:szCs w:val="18"/>
              </w:rPr>
              <w:t>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rPr>
              <w:t>饲料、饲料添加剂生产企业、经营者的生产、经营条件；饲料、饲料添加剂产品质量检验情况、标签使用情况；是否超出许可范围、许可证有效期生产饲料、饲料添加。</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r>
              <w:rPr>
                <w:rFonts w:hint="eastAsia" w:ascii="宋体" w:hAnsi="宋体" w:cs="宋体"/>
                <w:color w:val="000000"/>
                <w:kern w:val="0"/>
                <w:sz w:val="18"/>
                <w:szCs w:val="18"/>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18"/>
                <w:szCs w:val="18"/>
                <w:lang w:val="en-US" w:eastAsia="zh-CN"/>
              </w:rPr>
              <w:t>9</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rPr>
              <w:t>动物防疫监督检查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jc w:val="left"/>
              <w:textAlignment w:val="center"/>
              <w:rPr>
                <w:rFonts w:hint="default" w:ascii="宋体" w:hAnsi="宋体" w:eastAsia="宋体" w:cs="宋体"/>
                <w:color w:val="000000"/>
                <w:kern w:val="0"/>
                <w:sz w:val="18"/>
                <w:szCs w:val="18"/>
              </w:rPr>
            </w:pPr>
            <w:r>
              <w:rPr>
                <w:rFonts w:hint="eastAsia" w:ascii="宋体" w:hAnsi="宋体" w:cs="宋体"/>
                <w:color w:val="000000"/>
                <w:kern w:val="0"/>
                <w:sz w:val="18"/>
                <w:szCs w:val="18"/>
              </w:rPr>
              <w:t>《中华人民共和国动物防疫法》（</w:t>
            </w:r>
            <w:r>
              <w:rPr>
                <w:rFonts w:hint="eastAsia" w:ascii="宋体" w:hAnsi="宋体" w:cs="宋体"/>
                <w:color w:val="000000"/>
                <w:kern w:val="0"/>
                <w:sz w:val="18"/>
                <w:szCs w:val="18"/>
                <w:lang w:val="en-US" w:eastAsia="zh-CN"/>
              </w:rPr>
              <w:t>2022年</w:t>
            </w:r>
            <w:r>
              <w:rPr>
                <w:rFonts w:hint="eastAsia" w:ascii="宋体" w:hAnsi="宋体" w:cs="宋体"/>
                <w:color w:val="000000"/>
                <w:kern w:val="0"/>
                <w:sz w:val="18"/>
                <w:szCs w:val="18"/>
              </w:rPr>
              <w:t xml:space="preserve">修订）                                   </w:t>
            </w:r>
            <w:r>
              <w:rPr>
                <w:rFonts w:hint="eastAsia" w:ascii="宋体" w:hAnsi="宋体" w:eastAsia="宋体" w:cs="宋体"/>
                <w:color w:val="000000"/>
                <w:kern w:val="0"/>
                <w:sz w:val="18"/>
                <w:szCs w:val="18"/>
              </w:rPr>
              <w:t>第二十</w:t>
            </w:r>
            <w:r>
              <w:rPr>
                <w:rFonts w:hint="eastAsia" w:ascii="宋体" w:hAnsi="宋体" w:eastAsia="宋体" w:cs="宋体"/>
                <w:color w:val="000000"/>
                <w:kern w:val="0"/>
                <w:sz w:val="18"/>
                <w:szCs w:val="18"/>
                <w:lang w:eastAsia="zh-CN"/>
              </w:rPr>
              <w:t>六</w:t>
            </w:r>
            <w:r>
              <w:rPr>
                <w:rFonts w:hint="eastAsia" w:ascii="宋体" w:hAnsi="宋体" w:eastAsia="宋体" w:cs="宋体"/>
                <w:color w:val="000000"/>
                <w:kern w:val="0"/>
                <w:sz w:val="18"/>
                <w:szCs w:val="18"/>
              </w:rPr>
              <w:t>条：</w:t>
            </w:r>
            <w:r>
              <w:rPr>
                <w:rFonts w:hint="default" w:ascii="宋体" w:hAnsi="宋体" w:eastAsia="宋体" w:cs="宋体"/>
                <w:color w:val="000000"/>
                <w:kern w:val="0"/>
                <w:sz w:val="18"/>
                <w:szCs w:val="18"/>
              </w:rPr>
              <w:t>经营动物、动物产品的集贸市场应当具备国务院农业农村主管部门规定的动物防疫条件，并接受农业农村主管部门的监督检查。第五十一条　屠宰、经营、运输的动物，以及用于科研、展示、演出和比赛等非食用性利用的动物，应当附有检疫证明；经营和运输的动物产品，应当附有检疫证明、检疫标志。</w:t>
            </w:r>
          </w:p>
          <w:p>
            <w:pPr>
              <w:widowControl/>
              <w:numPr>
                <w:ilvl w:val="0"/>
                <w:numId w:val="0"/>
              </w:numPr>
              <w:jc w:val="left"/>
              <w:textAlignment w:val="center"/>
            </w:pPr>
            <w:r>
              <w:rPr>
                <w:rFonts w:hint="eastAsia" w:ascii="宋体" w:hAnsi="宋体" w:cs="宋体"/>
                <w:color w:val="000000"/>
                <w:kern w:val="0"/>
                <w:sz w:val="18"/>
                <w:szCs w:val="18"/>
              </w:rPr>
              <w:t>2、《动物诊疗机构管理办法》（2008年</w:t>
            </w:r>
            <w:r>
              <w:rPr>
                <w:rFonts w:hint="eastAsia" w:ascii="宋体" w:hAnsi="宋体" w:cs="宋体"/>
                <w:color w:val="000000"/>
                <w:kern w:val="0"/>
                <w:sz w:val="18"/>
                <w:szCs w:val="18"/>
                <w:lang w:eastAsia="zh-CN"/>
              </w:rPr>
              <w:t>修订</w:t>
            </w:r>
            <w:r>
              <w:rPr>
                <w:rFonts w:hint="eastAsia" w:ascii="宋体" w:hAnsi="宋体" w:cs="宋体"/>
                <w:color w:val="000000"/>
                <w:kern w:val="0"/>
                <w:sz w:val="18"/>
                <w:szCs w:val="18"/>
              </w:rPr>
              <w:t>）第二十八条：动物卫生监督机构应当建立健全日常监管制度，对辖区内动物诊疗机构和人员执行法律、法规、规章的情况进行监督检查。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3、《动物防疫条件审查办法》(20</w:t>
            </w: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修订</w:t>
            </w:r>
            <w:r>
              <w:rPr>
                <w:rFonts w:hint="eastAsia" w:ascii="宋体" w:hAnsi="宋体" w:cs="宋体"/>
                <w:color w:val="000000"/>
                <w:kern w:val="0"/>
                <w:sz w:val="18"/>
                <w:szCs w:val="18"/>
              </w:rPr>
              <w:t>)第十八条县级以上地方人民政府农业农村主管部门依照《中华人民共和国动物防疫法》和本办法以及有关法律、法规的规定，对本办法第二条所列场所的动物防疫条件实施监督检查，有关单位和个人应当予以配合，不得拒绝和阻碍。</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r>
              <w:rPr>
                <w:rFonts w:hint="eastAsia" w:ascii="宋体" w:hAnsi="宋体" w:cs="宋体"/>
                <w:color w:val="000000"/>
                <w:kern w:val="0"/>
                <w:sz w:val="18"/>
                <w:szCs w:val="18"/>
              </w:rPr>
              <w:t>查验检疫证明、检疫标志和畜禽标识；动物免疫、消毒等动物疫病预防工作情况；动物诊疗机构条件；动物诊疗机构和人员执行法律、法规、规章的情况。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动物饲养场、养殖小区、动物隔离场所、动物屠宰加工场所、动物和动物产品无害化处理场所、动物和动物产品集贸市场的动物防疫条件情况。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动物、动物产品的运载工具、垫料、包装物、容器等是否符合规定的动物防疫要求。</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r>
              <w:rPr>
                <w:rFonts w:hint="eastAsia" w:ascii="宋体" w:hAnsi="宋体" w:cs="宋体"/>
                <w:color w:val="000000"/>
                <w:kern w:val="0"/>
                <w:sz w:val="18"/>
                <w:szCs w:val="18"/>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种畜禽质量监督检查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《中华人民共和国畜牧法》(2015年修</w:t>
            </w:r>
            <w:r>
              <w:rPr>
                <w:rFonts w:hint="eastAsia" w:ascii="宋体" w:hAnsi="宋体" w:cs="宋体"/>
                <w:color w:val="000000"/>
                <w:kern w:val="0"/>
                <w:sz w:val="18"/>
                <w:szCs w:val="18"/>
                <w:lang w:eastAsia="zh-CN"/>
              </w:rPr>
              <w:t>订</w:t>
            </w:r>
            <w:r>
              <w:rPr>
                <w:rFonts w:hint="eastAsia" w:ascii="宋体" w:hAnsi="宋体" w:cs="宋体"/>
                <w:color w:val="000000"/>
                <w:kern w:val="0"/>
                <w:sz w:val="18"/>
                <w:szCs w:val="18"/>
              </w:rPr>
              <w:t>) </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无种畜禽生产经营许可证或者违反种畜禽生产经营许可证的规定生产经营种畜禽的，转让、租借种畜禽生产经营许可证的情况。2、销售的种畜禽未附具种畜禽合格证明、检疫合格证明、家畜系谱的，销售、收购国务院畜牧兽医行政主管部门规定应当加施标识而没有标识的畜禽的，或者重复使用畜禽标识的；使用伪造、变造的畜禽标识的情况。种畜禽生产经营许可证有效期情况。</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b w:val="0"/>
                <w:bCs w:val="0"/>
                <w:color w:val="000000"/>
                <w:kern w:val="0"/>
                <w:sz w:val="18"/>
                <w:szCs w:val="18"/>
                <w:lang w:eastAsia="zh-CN"/>
              </w:rPr>
              <w:t>１</w:t>
            </w:r>
            <w:r>
              <w:rPr>
                <w:rFonts w:hint="eastAsia" w:ascii="宋体" w:hAnsi="宋体" w:cs="宋体"/>
                <w:b w:val="0"/>
                <w:bCs w:val="0"/>
                <w:color w:val="000000"/>
                <w:kern w:val="0"/>
                <w:sz w:val="18"/>
                <w:szCs w:val="18"/>
                <w:lang w:val="en-US" w:eastAsia="zh-CN"/>
              </w:rPr>
              <w:t>1</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对动物诊疗</w:t>
            </w:r>
            <w:r>
              <w:rPr>
                <w:rFonts w:hint="eastAsia" w:ascii="宋体" w:hAnsi="宋体" w:cs="宋体"/>
                <w:color w:val="000000"/>
                <w:kern w:val="0"/>
                <w:sz w:val="18"/>
                <w:szCs w:val="18"/>
                <w:lang w:eastAsia="zh-CN"/>
              </w:rPr>
              <w:t>机构的</w:t>
            </w:r>
            <w:r>
              <w:rPr>
                <w:rFonts w:hint="eastAsia" w:ascii="宋体" w:hAnsi="宋体" w:cs="宋体"/>
                <w:color w:val="000000"/>
                <w:kern w:val="0"/>
                <w:sz w:val="18"/>
                <w:szCs w:val="18"/>
              </w:rPr>
              <w:t>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第五十二条。《动物诊疗机构管理办法》第三条　农业部负责全国动物诊疗机构的监督管理。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县级以上地方人民政府兽医主管部门负责本行政区域内动物诊疗机构的管理。</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县级以上地方人民政府设立的动物卫生监督机构负责本行政区域内动物诊疗机构的监督执法工作。</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default" w:ascii="宋体" w:hAnsi="宋体" w:cs="宋体"/>
                <w:color w:val="000000"/>
                <w:kern w:val="0"/>
                <w:sz w:val="18"/>
                <w:szCs w:val="18"/>
              </w:rPr>
              <w:t>有与动物诊疗活动相适应并符合动物防疫条件的场所；</w:t>
            </w:r>
            <w:r>
              <w:rPr>
                <w:rFonts w:hint="eastAsia" w:ascii="宋体" w:hAnsi="宋体" w:cs="宋体"/>
                <w:color w:val="000000"/>
                <w:kern w:val="0"/>
                <w:sz w:val="18"/>
                <w:szCs w:val="18"/>
                <w:lang w:val="en-US" w:eastAsia="zh-CN"/>
              </w:rPr>
              <w:t>2.</w:t>
            </w:r>
            <w:r>
              <w:rPr>
                <w:rFonts w:hint="default" w:ascii="宋体" w:hAnsi="宋体" w:cs="宋体"/>
                <w:color w:val="000000"/>
                <w:kern w:val="0"/>
                <w:sz w:val="18"/>
                <w:szCs w:val="18"/>
              </w:rPr>
              <w:t>有与动物诊疗活动相适应的执业兽医</w:t>
            </w:r>
            <w:r>
              <w:rPr>
                <w:rFonts w:hint="eastAsia" w:ascii="宋体" w:hAnsi="宋体" w:cs="宋体"/>
                <w:color w:val="000000"/>
                <w:kern w:val="0"/>
                <w:sz w:val="18"/>
                <w:szCs w:val="18"/>
                <w:lang w:val="en-US" w:eastAsia="zh-CN"/>
              </w:rPr>
              <w:t>3.</w:t>
            </w:r>
            <w:r>
              <w:rPr>
                <w:rFonts w:hint="default" w:ascii="宋体" w:hAnsi="宋体" w:cs="宋体"/>
                <w:color w:val="000000"/>
                <w:kern w:val="0"/>
                <w:sz w:val="18"/>
                <w:szCs w:val="18"/>
              </w:rPr>
              <w:t>有与动物诊疗活动相适应的兽医器械和设备；</w:t>
            </w:r>
            <w:r>
              <w:rPr>
                <w:rFonts w:hint="eastAsia" w:ascii="宋体" w:hAnsi="宋体" w:cs="宋体"/>
                <w:color w:val="000000"/>
                <w:kern w:val="0"/>
                <w:sz w:val="18"/>
                <w:szCs w:val="18"/>
                <w:lang w:val="en-US" w:eastAsia="zh-CN"/>
              </w:rPr>
              <w:t>4.</w:t>
            </w:r>
            <w:r>
              <w:rPr>
                <w:rFonts w:hint="default" w:ascii="宋体" w:hAnsi="宋体" w:cs="宋体"/>
                <w:color w:val="000000"/>
                <w:kern w:val="0"/>
                <w:sz w:val="18"/>
                <w:szCs w:val="18"/>
              </w:rPr>
              <w:t>有完善的管理制度。</w:t>
            </w:r>
          </w:p>
          <w:p>
            <w:pPr>
              <w:widowControl/>
              <w:jc w:val="left"/>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5.动物诊疗机构经营活动情况是否符合规定；6.动物诊疗机构应对疫病防治工作情况是否符合规定</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12</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水产苗种的生产许可的监督检查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中华人民共和国渔业法》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2013年修订</w:t>
            </w:r>
            <w:r>
              <w:rPr>
                <w:rFonts w:hint="eastAsia" w:ascii="宋体" w:hAnsi="宋体" w:cs="宋体"/>
                <w:color w:val="000000"/>
                <w:kern w:val="0"/>
                <w:sz w:val="18"/>
                <w:szCs w:val="18"/>
                <w:lang w:eastAsia="zh-CN"/>
              </w:rPr>
              <w:t>）</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第十六条水产苗种的生产由县级以上地方人民政府渔业行政主管部门审批。但是，渔业生产者自育、自用水产苗种的除外。</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第四十四条 非法生产、进口、出口水产苗种的，没收苗种和违法所得，并处五万元以下的罚款。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《水产苗种管理办法》</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第十五条　水产苗种生产单位和个人应当按照许可证规定的范围、种类等进行生产。需要变更生产范围、种类的，应当向原发证机关办理变更手续。</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水产苗种生产许可证的许可有效期限为三年。期满需延期的，应当于期满三十日前向原发证机关提出申请，办理续展手续。</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第十六条　水产苗种的生产应当遵守农业部制定的生产技术操作规程。保证苗种质量。</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《吉林省渔业管理条例》</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第十二条   从事水产苗种生产的单位和个人应当向县级以上人民政府渔业行政主管部门提出申请，经批准后方可生产，但是自育、自用水产苗种的除外。实行水产苗种产地检疫制度。县域间引进水产苗种的，必须持有检疫合格证明。水产苗种检疫办法，由省人民政府制定。</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1.检查水产苗种证书是否有效.2.核查生产苗种是否符合审批范围</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定期霍不定期</w:t>
            </w:r>
          </w:p>
        </w:tc>
        <w:tc>
          <w:tcPr>
            <w:tcW w:w="4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13</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对水生野生保护动物及其制品利用特许证件的监管</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《中华人民共和国野生动物保护法》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2018年修订</w:t>
            </w:r>
            <w:r>
              <w:rPr>
                <w:rFonts w:hint="eastAsia" w:ascii="宋体" w:hAnsi="宋体" w:cs="宋体"/>
                <w:color w:val="000000"/>
                <w:kern w:val="0"/>
                <w:sz w:val="18"/>
                <w:szCs w:val="18"/>
                <w:lang w:eastAsia="zh-CN"/>
              </w:rPr>
              <w:t>）</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第二十一条　禁止猎捕、杀害国家重点保护野生动物。</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第二十五条　国家支持有关科学研究机构因物种保护目的人工繁育国家重点保护野生动物。</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第二十七条　禁止出售、购买、利用国家重点保护野生动物及其制品。</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1.检查是否依法办理猎捕证、是否按照按照批准开展相关活动；2.检查是否依法办理人工繁育许可证、是否按照批准开展相关活动；3.检查是否依法办理经营利用许可证或相关标识、是否按照批准开展经营利用活动</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对农产品生产企业和农民专业合作经济组织的行政检查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《中华人民共和国农产品质量安全法》</w:t>
            </w:r>
            <w:r>
              <w:rPr>
                <w:rFonts w:hint="eastAsia" w:ascii="宋体" w:hAnsi="宋体" w:cs="宋体"/>
                <w:color w:val="000000"/>
                <w:kern w:val="0"/>
                <w:sz w:val="18"/>
                <w:szCs w:val="18"/>
                <w:lang w:val="en-US" w:eastAsia="zh-CN"/>
              </w:rPr>
              <w:t xml:space="preserve">  （2018年修订）</w:t>
            </w:r>
            <w:r>
              <w:rPr>
                <w:rFonts w:hint="eastAsia" w:ascii="宋体" w:hAnsi="宋体" w:cs="宋体"/>
                <w:color w:val="000000"/>
                <w:kern w:val="0"/>
                <w:sz w:val="18"/>
                <w:szCs w:val="18"/>
              </w:rPr>
              <w:t>第三条:县级以上人民政府农业行政主管部门负责农产品质量安全的监督管理工作；</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第二十四条：农产品生产企业和农民专业合作经济组织应当建立农产品生产记录；</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五条：农产品生产者应当按照法律、行政法规和国务院农业行政主管部门的规定，合理使用农业投入品，严格执行农业投入品使用安全间隔期或者休药期的规定，防止危及农产品质量安全。禁止在农产品生产过程中使用国家明令禁止使用的农业投入品。</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第二十六条：农产品生产企业和农民专业合作经济组织，应当自行或者委托检测机构对农产品质量安全状况进行检测；经检测不符合农产品质量安全标准的农产品，不得销售。</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二十八条：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三十四条:国家建立农产品质量安全监测制度。县级以上人民政府农业行政主管部门应当按照保障农产品质量安全的要求，制定并组织实施农产品质量安全监测计划，对生产中或者市场上销售的农产品进行监督抽查。</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1、农产品生产记录档案建立情况的检查。</w:t>
            </w:r>
          </w:p>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2、农业投入品使用情况的检查。</w:t>
            </w:r>
          </w:p>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3、农产品质量检测情况的检查。</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15</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对农业植物检疫、复检、查验植物检疫证书及有关资料的监督检查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1、《植物检疫条例》：第三条 县级以上地方各级农业主管部门、林业主管部门所属的植物检疫机构，负责执行国家的植物检疫任务。 </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2、《植物检疫条例实施细则（农业部分）》：第四条、各级植物检疫机构的职责范围：(三)地(市)、县级植物检疫机构的主要职责：6、在当地车站、机场、港口、仓库及其他有关场所执行植物检疫任务。</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3、《吉林省农业植物检疫实施办法》：第七条  植物检疫机构可以派遣检疫人员进入车站、机场、邮局、港口、仓库以及应施检疫的植物、植物产品种植、加工、销售等场所，依法实施现场检疫、复检、查验植物检疫证书及有关资料，进行疫情监督调查、检疫监督，并依照规定提取样品；依法监督有关单位或者个人进行隔离试种和对检疫物进行消毒、除害处理以及对疫情采取封锁、消灭等措施。</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1、种子包装标签（植物检疫产地检疫编号）； </w:t>
            </w:r>
          </w:p>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2、产地检疫证明、植物检疫证书； </w:t>
            </w:r>
          </w:p>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3、农作物种子及产品是否带有植物检疫性有害生物。</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pPr>
          </w:p>
        </w:tc>
      </w:tr>
      <w:tr>
        <w:tblPrEx>
          <w:tblCellMar>
            <w:top w:w="0" w:type="dxa"/>
            <w:left w:w="0" w:type="dxa"/>
            <w:bottom w:w="0" w:type="dxa"/>
            <w:right w:w="0" w:type="dxa"/>
          </w:tblCellMar>
        </w:tblPrEx>
        <w:trPr>
          <w:trHeight w:val="415" w:hRule="atLeast"/>
        </w:trPr>
        <w:tc>
          <w:tcPr>
            <w:tcW w:w="5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16</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对水域滩涂养殖证的检查</w:t>
            </w:r>
          </w:p>
        </w:tc>
        <w:tc>
          <w:tcPr>
            <w:tcW w:w="59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《中华人民共和国渔业法》</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2013年修订</w:t>
            </w:r>
            <w:r>
              <w:rPr>
                <w:rFonts w:hint="eastAsia" w:ascii="宋体" w:hAnsi="宋体" w:cs="宋体"/>
                <w:color w:val="000000"/>
                <w:kern w:val="0"/>
                <w:sz w:val="18"/>
                <w:szCs w:val="18"/>
                <w:lang w:eastAsia="zh-CN"/>
              </w:rPr>
              <w:t>）</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集体所有的或者全民所有由农业集体经济组织使用的水域、滩涂，可以由个人或者集体承包，从事养殖生产。</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未依法取得养殖证擅自在全民所有的水域从事养殖生产的，责令改正，补办养殖证或者限期拆除养殖设施。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未依法取得养殖证或者超越养殖证许可范围在全民所有的水域从事养殖生产，妨碍航运、行洪的，责令限期拆除养殖设施，可以并处一万元以下的罚款。</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《吉林省渔业管理条例》第七条单位和个人使用国有水域、滩涂从事养殖生产的，必须申领养殖证。</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申领养殖证，应当向县级以上人民政府渔业行政主管部门提出申请，由本级人民政府核发;跨市、县水域、滩涂的养殖证，由其共同的上一级人民政府核发;没有共同的上一级人民政府的，由省人民政府核发。</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单位和个人承包集体所有的水域、滩涂从事养殖生产的，应当依法签订承包合同。</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四十四条违反本条例第七条规定，未依法取得养殖证擅自利用国有水域、滩涂从事养殖生产的，责令改正，补办养殖证或者限期拆除养殖设施;对拒不补办养殖证或者不拆除养殖设施的,由渔政渔港监督管理机构拆除养殖设施。</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       第四十五条违反本条例第九条规定，使用国有的水域、滩涂从事养殖生产，无正当理由荒芜水域、滩涂一年以上的，由核发养殖证的机关责令限期开发利用;逾期仍未开发利用的，吊销养殖证，可以并处一千元以上三千元以下罚款</w:t>
            </w:r>
          </w:p>
        </w:tc>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市农业农村局</w:t>
            </w:r>
          </w:p>
        </w:tc>
        <w:tc>
          <w:tcPr>
            <w:tcW w:w="4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对水域滩涂养殖证的检查</w:t>
            </w: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定期或不定期</w:t>
            </w:r>
          </w:p>
        </w:tc>
        <w:tc>
          <w:tcPr>
            <w:tcW w:w="44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jc w:val="left"/>
              <w:textAlignment w:val="center"/>
            </w:pPr>
          </w:p>
        </w:tc>
      </w:tr>
    </w:tbl>
    <w:p/>
    <w:sectPr>
      <w:footerReference r:id="rId3" w:type="default"/>
      <w:type w:val="continuous"/>
      <w:pgSz w:w="16838" w:h="11906" w:orient="landscape"/>
      <w:pgMar w:top="1701" w:right="1418" w:bottom="1418" w:left="1701" w:header="851" w:footer="992" w:gutter="0"/>
      <w:cols w:space="720" w:num="1"/>
      <w:docGrid w:type="linesAndChars" w:linePitch="311" w:charSpace="-11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t>12</w:t>
    </w:r>
    <w:r>
      <w:rPr>
        <w:rFonts w:ascii="Times New Roman" w:hAnsi="Times New Roman"/>
        <w:sz w:val="24"/>
      </w:rPr>
      <w:fldChar w:fldCharType="end"/>
    </w:r>
    <w:r>
      <w:rPr>
        <w:rFonts w:ascii="Times New Roman" w:hAnsi="Times New Roman"/>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C1810"/>
    <w:multiLevelType w:val="singleLevel"/>
    <w:tmpl w:val="7FBC18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860FD"/>
    <w:rsid w:val="00063E0D"/>
    <w:rsid w:val="00071C1A"/>
    <w:rsid w:val="001005EC"/>
    <w:rsid w:val="00182C86"/>
    <w:rsid w:val="00257699"/>
    <w:rsid w:val="0027459D"/>
    <w:rsid w:val="002C69AC"/>
    <w:rsid w:val="00306148"/>
    <w:rsid w:val="003817DA"/>
    <w:rsid w:val="005A121C"/>
    <w:rsid w:val="0073463A"/>
    <w:rsid w:val="00884FF2"/>
    <w:rsid w:val="00904DDC"/>
    <w:rsid w:val="00981537"/>
    <w:rsid w:val="009A3397"/>
    <w:rsid w:val="009F2A2D"/>
    <w:rsid w:val="00A20B48"/>
    <w:rsid w:val="00A353CF"/>
    <w:rsid w:val="00B3493D"/>
    <w:rsid w:val="00D61E72"/>
    <w:rsid w:val="00DB7136"/>
    <w:rsid w:val="00DF4996"/>
    <w:rsid w:val="00E235A1"/>
    <w:rsid w:val="00F608F9"/>
    <w:rsid w:val="00F974CF"/>
    <w:rsid w:val="05460543"/>
    <w:rsid w:val="073A7227"/>
    <w:rsid w:val="07946866"/>
    <w:rsid w:val="0866671B"/>
    <w:rsid w:val="0B7E5F21"/>
    <w:rsid w:val="0E3A7C8F"/>
    <w:rsid w:val="0E4577B0"/>
    <w:rsid w:val="0F2A1AE7"/>
    <w:rsid w:val="12594DDB"/>
    <w:rsid w:val="15911805"/>
    <w:rsid w:val="181F2FB9"/>
    <w:rsid w:val="190860FD"/>
    <w:rsid w:val="1F265838"/>
    <w:rsid w:val="1F6B136F"/>
    <w:rsid w:val="208815C8"/>
    <w:rsid w:val="24C3346E"/>
    <w:rsid w:val="266D3ED4"/>
    <w:rsid w:val="29557BE2"/>
    <w:rsid w:val="29713073"/>
    <w:rsid w:val="2C436859"/>
    <w:rsid w:val="2E3643E1"/>
    <w:rsid w:val="31BC0737"/>
    <w:rsid w:val="392A0EFD"/>
    <w:rsid w:val="3AC93419"/>
    <w:rsid w:val="3B903980"/>
    <w:rsid w:val="3B975C1B"/>
    <w:rsid w:val="3BF11665"/>
    <w:rsid w:val="3D1C7064"/>
    <w:rsid w:val="432F3D4B"/>
    <w:rsid w:val="447334C2"/>
    <w:rsid w:val="469F69B8"/>
    <w:rsid w:val="4B2F40E4"/>
    <w:rsid w:val="4C131BCE"/>
    <w:rsid w:val="4DAC2AB6"/>
    <w:rsid w:val="509A494F"/>
    <w:rsid w:val="509D2E04"/>
    <w:rsid w:val="510339D3"/>
    <w:rsid w:val="52060893"/>
    <w:rsid w:val="52354C7C"/>
    <w:rsid w:val="537646E6"/>
    <w:rsid w:val="54985975"/>
    <w:rsid w:val="59763814"/>
    <w:rsid w:val="5B6A5B0F"/>
    <w:rsid w:val="5B6B5612"/>
    <w:rsid w:val="61C064EA"/>
    <w:rsid w:val="628C6E0F"/>
    <w:rsid w:val="668028AE"/>
    <w:rsid w:val="66CB719D"/>
    <w:rsid w:val="694C733F"/>
    <w:rsid w:val="6E0816FB"/>
    <w:rsid w:val="70FB527D"/>
    <w:rsid w:val="72642713"/>
    <w:rsid w:val="72B020EB"/>
    <w:rsid w:val="743728F1"/>
    <w:rsid w:val="752E3DE9"/>
    <w:rsid w:val="7630348C"/>
    <w:rsid w:val="766F1C58"/>
    <w:rsid w:val="76812CCD"/>
    <w:rsid w:val="77513167"/>
    <w:rsid w:val="77694979"/>
    <w:rsid w:val="77772DFC"/>
    <w:rsid w:val="787F2E6E"/>
    <w:rsid w:val="791C6EF6"/>
    <w:rsid w:val="7A1F64ED"/>
    <w:rsid w:val="7B7B2BBE"/>
    <w:rsid w:val="7BA02A7C"/>
    <w:rsid w:val="7FD2670B"/>
    <w:rsid w:val="BCD7991B"/>
    <w:rsid w:val="F9FE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rPr>
      <w:kern w:val="0"/>
      <w:szCs w:val="21"/>
    </w:rPr>
  </w:style>
  <w:style w:type="character" w:styleId="7">
    <w:name w:val="Strong"/>
    <w:basedOn w:val="6"/>
    <w:qFormat/>
    <w:uiPriority w:val="0"/>
    <w:rPr>
      <w:b/>
    </w:rPr>
  </w:style>
  <w:style w:type="character" w:styleId="8">
    <w:name w:val="FollowedHyperlink"/>
    <w:basedOn w:val="6"/>
    <w:qFormat/>
    <w:uiPriority w:val="0"/>
    <w:rPr>
      <w:color w:val="4A4A4A"/>
      <w:u w:val="none"/>
    </w:rPr>
  </w:style>
  <w:style w:type="character" w:styleId="9">
    <w:name w:val="Hyperlink"/>
    <w:unhideWhenUsed/>
    <w:qFormat/>
    <w:uiPriority w:val="99"/>
    <w:rPr>
      <w:color w:val="0000FF"/>
      <w:u w:val="single"/>
    </w:rPr>
  </w:style>
  <w:style w:type="character" w:customStyle="1" w:styleId="10">
    <w:name w:val="font31"/>
    <w:basedOn w:val="6"/>
    <w:qFormat/>
    <w:uiPriority w:val="0"/>
    <w:rPr>
      <w:rFonts w:hint="eastAsia" w:ascii="宋体" w:hAnsi="宋体" w:eastAsia="宋体" w:cs="宋体"/>
      <w:color w:val="000000"/>
      <w:sz w:val="24"/>
      <w:szCs w:val="24"/>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11"/>
    <w:basedOn w:val="6"/>
    <w:qFormat/>
    <w:uiPriority w:val="0"/>
    <w:rPr>
      <w:rFonts w:hint="eastAsia" w:ascii="宋体" w:hAnsi="宋体" w:eastAsia="宋体" w:cs="宋体"/>
      <w:color w:val="000000"/>
      <w:sz w:val="24"/>
      <w:szCs w:val="24"/>
      <w:u w:val="none"/>
    </w:rPr>
  </w:style>
  <w:style w:type="character" w:customStyle="1" w:styleId="13">
    <w:name w:val="font21"/>
    <w:basedOn w:val="6"/>
    <w:qFormat/>
    <w:uiPriority w:val="0"/>
    <w:rPr>
      <w:rFonts w:hint="eastAsia" w:ascii="宋体" w:hAnsi="宋体" w:eastAsia="宋体" w:cs="宋体"/>
      <w:color w:val="000000"/>
      <w:sz w:val="18"/>
      <w:szCs w:val="18"/>
      <w:u w:val="none"/>
    </w:rPr>
  </w:style>
  <w:style w:type="character" w:customStyle="1" w:styleId="14">
    <w:name w:val="titbg2"/>
    <w:basedOn w:val="6"/>
    <w:qFormat/>
    <w:uiPriority w:val="0"/>
    <w:rPr>
      <w:shd w:val="clear" w:color="auto" w:fill="378ED7"/>
    </w:rPr>
  </w:style>
  <w:style w:type="character" w:customStyle="1" w:styleId="15">
    <w:name w:val="titbg1"/>
    <w:basedOn w:val="6"/>
    <w:qFormat/>
    <w:uiPriority w:val="0"/>
    <w:rPr>
      <w:shd w:val="clear" w:color="auto" w:fill="378ED7"/>
    </w:rPr>
  </w:style>
  <w:style w:type="paragraph" w:customStyle="1" w:styleId="16">
    <w:name w:val="textaligncenter"/>
    <w:basedOn w:val="1"/>
    <w:qFormat/>
    <w:uiPriority w:val="0"/>
    <w:pPr>
      <w:jc w:val="center"/>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6348</Words>
  <Characters>6423</Characters>
  <Lines>10</Lines>
  <Paragraphs>30</Paragraphs>
  <TotalTime>28</TotalTime>
  <ScaleCrop>false</ScaleCrop>
  <LinksUpToDate>false</LinksUpToDate>
  <CharactersWithSpaces>6905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2019-06-10T23:49:00Z</dcterms:created>
  <dc:creator>Administrator</dc:creator>
  <cp:lastModifiedBy>lenoco</cp:lastModifiedBy>
  <cp:lastPrinted>2020-10-28T00:59:00Z</cp:lastPrinted>
  <dcterms:modified xsi:type="dcterms:W3CDTF">2022-11-25T06:46:58Z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9CAEBCC1525B4912B5C0E6381B9B4649</vt:lpwstr>
  </property>
</Properties>
</file>