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1814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附件7</w:t>
      </w:r>
    </w:p>
    <w:p w14:paraId="595E49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pacing w:val="-20"/>
          <w:sz w:val="32"/>
          <w:szCs w:val="32"/>
          <w:lang w:val="en-US" w:eastAsia="zh-CN"/>
        </w:rPr>
      </w:pPr>
      <w:r>
        <w:rPr>
          <w:rFonts w:hint="eastAsia" w:ascii="方正小标宋_GBK" w:hAnsi="方正小标宋_GBK" w:eastAsia="方正小标宋_GBK" w:cs="方正小标宋_GBK"/>
          <w:b w:val="0"/>
          <w:bCs w:val="0"/>
          <w:sz w:val="32"/>
          <w:szCs w:val="32"/>
          <w:lang w:val="en-US" w:eastAsia="zh-CN"/>
        </w:rPr>
        <w:t>2024年“粮改饲”工作绩效评价指标表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52"/>
        <w:gridCol w:w="727"/>
        <w:gridCol w:w="780"/>
        <w:gridCol w:w="767"/>
        <w:gridCol w:w="632"/>
        <w:gridCol w:w="3186"/>
        <w:gridCol w:w="6091"/>
        <w:gridCol w:w="727"/>
        <w:gridCol w:w="712"/>
      </w:tblGrid>
      <w:tr w14:paraId="6424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52" w:type="dxa"/>
            <w:vMerge w:val="restart"/>
            <w:vAlign w:val="center"/>
          </w:tcPr>
          <w:p w14:paraId="330A828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序</w:t>
            </w:r>
          </w:p>
          <w:p w14:paraId="6AE14E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号</w:t>
            </w:r>
          </w:p>
        </w:tc>
        <w:tc>
          <w:tcPr>
            <w:tcW w:w="2274" w:type="dxa"/>
            <w:gridSpan w:val="3"/>
            <w:vAlign w:val="center"/>
          </w:tcPr>
          <w:p w14:paraId="3BADDE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评价指标</w:t>
            </w:r>
          </w:p>
        </w:tc>
        <w:tc>
          <w:tcPr>
            <w:tcW w:w="632" w:type="dxa"/>
            <w:vMerge w:val="restart"/>
            <w:vAlign w:val="center"/>
          </w:tcPr>
          <w:p w14:paraId="482231B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分值</w:t>
            </w:r>
          </w:p>
        </w:tc>
        <w:tc>
          <w:tcPr>
            <w:tcW w:w="3186" w:type="dxa"/>
            <w:vMerge w:val="restart"/>
            <w:vAlign w:val="center"/>
          </w:tcPr>
          <w:p w14:paraId="656FE9C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指标解释</w:t>
            </w:r>
          </w:p>
        </w:tc>
        <w:tc>
          <w:tcPr>
            <w:tcW w:w="6091" w:type="dxa"/>
            <w:vMerge w:val="restart"/>
            <w:vAlign w:val="center"/>
          </w:tcPr>
          <w:p w14:paraId="54857C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评价标准</w:t>
            </w:r>
          </w:p>
        </w:tc>
        <w:tc>
          <w:tcPr>
            <w:tcW w:w="727" w:type="dxa"/>
            <w:vMerge w:val="restart"/>
            <w:vAlign w:val="center"/>
          </w:tcPr>
          <w:p w14:paraId="7B7A4ED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自评依据</w:t>
            </w:r>
          </w:p>
        </w:tc>
        <w:tc>
          <w:tcPr>
            <w:tcW w:w="712" w:type="dxa"/>
            <w:vMerge w:val="restart"/>
            <w:vAlign w:val="center"/>
          </w:tcPr>
          <w:p w14:paraId="4B83EBB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自评分数</w:t>
            </w:r>
          </w:p>
        </w:tc>
      </w:tr>
      <w:tr w14:paraId="16D2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52" w:type="dxa"/>
            <w:vMerge w:val="continue"/>
            <w:tcBorders/>
            <w:vAlign w:val="center"/>
          </w:tcPr>
          <w:p w14:paraId="2AF1D08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27" w:type="dxa"/>
            <w:vAlign w:val="center"/>
          </w:tcPr>
          <w:p w14:paraId="31AA518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一级</w:t>
            </w:r>
          </w:p>
          <w:p w14:paraId="5B5FD6C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指标</w:t>
            </w:r>
          </w:p>
        </w:tc>
        <w:tc>
          <w:tcPr>
            <w:tcW w:w="780" w:type="dxa"/>
            <w:vAlign w:val="center"/>
          </w:tcPr>
          <w:p w14:paraId="1E713C5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二级</w:t>
            </w:r>
          </w:p>
          <w:p w14:paraId="66BF1D9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指标</w:t>
            </w:r>
          </w:p>
        </w:tc>
        <w:tc>
          <w:tcPr>
            <w:tcW w:w="767" w:type="dxa"/>
            <w:vAlign w:val="center"/>
          </w:tcPr>
          <w:p w14:paraId="69848B0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三级</w:t>
            </w:r>
          </w:p>
          <w:p w14:paraId="16BE6F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指标</w:t>
            </w:r>
          </w:p>
        </w:tc>
        <w:tc>
          <w:tcPr>
            <w:tcW w:w="632" w:type="dxa"/>
            <w:vMerge w:val="continue"/>
            <w:tcBorders/>
            <w:vAlign w:val="center"/>
          </w:tcPr>
          <w:p w14:paraId="188470B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3186" w:type="dxa"/>
            <w:vMerge w:val="continue"/>
            <w:tcBorders/>
            <w:vAlign w:val="center"/>
          </w:tcPr>
          <w:p w14:paraId="048736D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6091" w:type="dxa"/>
            <w:vMerge w:val="continue"/>
            <w:tcBorders/>
            <w:vAlign w:val="center"/>
          </w:tcPr>
          <w:p w14:paraId="4C3275F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27" w:type="dxa"/>
            <w:vMerge w:val="continue"/>
            <w:tcBorders/>
            <w:vAlign w:val="center"/>
          </w:tcPr>
          <w:p w14:paraId="6992668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12" w:type="dxa"/>
            <w:vMerge w:val="continue"/>
            <w:tcBorders/>
            <w:vAlign w:val="center"/>
          </w:tcPr>
          <w:p w14:paraId="7E4AC1A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r>
      <w:tr w14:paraId="17CF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52" w:type="dxa"/>
            <w:vAlign w:val="center"/>
          </w:tcPr>
          <w:p w14:paraId="03F884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w:t>
            </w:r>
          </w:p>
        </w:tc>
        <w:tc>
          <w:tcPr>
            <w:tcW w:w="727" w:type="dxa"/>
            <w:vMerge w:val="restart"/>
            <w:vAlign w:val="center"/>
          </w:tcPr>
          <w:p w14:paraId="163694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投入和</w:t>
            </w:r>
          </w:p>
          <w:p w14:paraId="4C8693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过程</w:t>
            </w:r>
          </w:p>
        </w:tc>
        <w:tc>
          <w:tcPr>
            <w:tcW w:w="780" w:type="dxa"/>
            <w:vMerge w:val="restart"/>
            <w:vAlign w:val="center"/>
          </w:tcPr>
          <w:p w14:paraId="3E94CD8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组织领导</w:t>
            </w:r>
          </w:p>
        </w:tc>
        <w:tc>
          <w:tcPr>
            <w:tcW w:w="767" w:type="dxa"/>
            <w:vAlign w:val="center"/>
          </w:tcPr>
          <w:p w14:paraId="2ECA213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领导</w:t>
            </w:r>
          </w:p>
          <w:p w14:paraId="48A0B89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机制</w:t>
            </w:r>
          </w:p>
        </w:tc>
        <w:tc>
          <w:tcPr>
            <w:tcW w:w="632" w:type="dxa"/>
            <w:vAlign w:val="center"/>
          </w:tcPr>
          <w:p w14:paraId="4EC4A4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3</w:t>
            </w:r>
          </w:p>
        </w:tc>
        <w:tc>
          <w:tcPr>
            <w:tcW w:w="3186" w:type="dxa"/>
            <w:vAlign w:val="center"/>
          </w:tcPr>
          <w:p w14:paraId="29D9D29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
              </w:rPr>
              <w:t>是否建立“粮改饲”工作领导协调机制，职责是否清晰，任务是否明确。</w:t>
            </w:r>
          </w:p>
        </w:tc>
        <w:tc>
          <w:tcPr>
            <w:tcW w:w="6091" w:type="dxa"/>
            <w:vAlign w:val="center"/>
          </w:tcPr>
          <w:p w14:paraId="4EF6296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
              </w:rPr>
              <w:t>建立“粮改饲”工作领导协调机制得1分，职责清晰得1分，任务明确得1分，否则不得分。</w:t>
            </w:r>
          </w:p>
        </w:tc>
        <w:tc>
          <w:tcPr>
            <w:tcW w:w="727" w:type="dxa"/>
            <w:vAlign w:val="center"/>
          </w:tcPr>
          <w:p w14:paraId="1FE3C6B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12" w:type="dxa"/>
            <w:vAlign w:val="center"/>
          </w:tcPr>
          <w:p w14:paraId="03B494D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r>
      <w:tr w14:paraId="1460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52" w:type="dxa"/>
            <w:vAlign w:val="center"/>
          </w:tcPr>
          <w:p w14:paraId="0F36064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2</w:t>
            </w:r>
          </w:p>
        </w:tc>
        <w:tc>
          <w:tcPr>
            <w:tcW w:w="727" w:type="dxa"/>
            <w:vMerge w:val="continue"/>
            <w:tcBorders/>
            <w:vAlign w:val="center"/>
          </w:tcPr>
          <w:p w14:paraId="7E4B45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80" w:type="dxa"/>
            <w:vMerge w:val="continue"/>
            <w:tcBorders/>
            <w:vAlign w:val="center"/>
          </w:tcPr>
          <w:p w14:paraId="40C9B03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67" w:type="dxa"/>
            <w:vAlign w:val="center"/>
          </w:tcPr>
          <w:p w14:paraId="1CEA92D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重视</w:t>
            </w:r>
          </w:p>
          <w:p w14:paraId="0C0E5CC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程度</w:t>
            </w:r>
          </w:p>
        </w:tc>
        <w:tc>
          <w:tcPr>
            <w:tcW w:w="632" w:type="dxa"/>
            <w:vAlign w:val="center"/>
          </w:tcPr>
          <w:p w14:paraId="2697577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3</w:t>
            </w:r>
          </w:p>
        </w:tc>
        <w:tc>
          <w:tcPr>
            <w:tcW w:w="3186" w:type="dxa"/>
            <w:vAlign w:val="center"/>
          </w:tcPr>
          <w:p w14:paraId="1DB8944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
              </w:rPr>
              <w:t>地方政府是否重视并将“粮改饲”列入农牧部门年度重点工作。</w:t>
            </w:r>
          </w:p>
        </w:tc>
        <w:tc>
          <w:tcPr>
            <w:tcW w:w="6091" w:type="dxa"/>
            <w:vAlign w:val="center"/>
          </w:tcPr>
          <w:p w14:paraId="394A714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
              </w:rPr>
              <w:t>列入畜牧部门年度重点工作得3分，否则不得分。</w:t>
            </w:r>
          </w:p>
        </w:tc>
        <w:tc>
          <w:tcPr>
            <w:tcW w:w="727" w:type="dxa"/>
            <w:vAlign w:val="center"/>
          </w:tcPr>
          <w:p w14:paraId="63D19D8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12" w:type="dxa"/>
            <w:vAlign w:val="center"/>
          </w:tcPr>
          <w:p w14:paraId="312D37A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r>
      <w:tr w14:paraId="7F2D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52" w:type="dxa"/>
            <w:vAlign w:val="center"/>
          </w:tcPr>
          <w:p w14:paraId="2081FDE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3</w:t>
            </w:r>
          </w:p>
        </w:tc>
        <w:tc>
          <w:tcPr>
            <w:tcW w:w="727" w:type="dxa"/>
            <w:vMerge w:val="continue"/>
            <w:tcBorders/>
            <w:vAlign w:val="center"/>
          </w:tcPr>
          <w:p w14:paraId="740A04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80" w:type="dxa"/>
            <w:vMerge w:val="restart"/>
            <w:vAlign w:val="center"/>
          </w:tcPr>
          <w:p w14:paraId="71609D6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资金管理</w:t>
            </w:r>
          </w:p>
        </w:tc>
        <w:tc>
          <w:tcPr>
            <w:tcW w:w="767" w:type="dxa"/>
            <w:vAlign w:val="center"/>
          </w:tcPr>
          <w:p w14:paraId="3817BCD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资金</w:t>
            </w:r>
          </w:p>
          <w:p w14:paraId="651727C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使用</w:t>
            </w:r>
          </w:p>
        </w:tc>
        <w:tc>
          <w:tcPr>
            <w:tcW w:w="632" w:type="dxa"/>
            <w:vAlign w:val="center"/>
          </w:tcPr>
          <w:p w14:paraId="22F108F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3186" w:type="dxa"/>
            <w:vAlign w:val="center"/>
          </w:tcPr>
          <w:p w14:paraId="7D78256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
              </w:rPr>
              <w:t>资金管理制度是否健全，资金使用是否符合有关要求。</w:t>
            </w:r>
          </w:p>
        </w:tc>
        <w:tc>
          <w:tcPr>
            <w:tcW w:w="6091" w:type="dxa"/>
            <w:vAlign w:val="center"/>
          </w:tcPr>
          <w:p w14:paraId="15592FE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资金管理制度健全得1分，资金使用符合有关要求得3</w:t>
            </w:r>
          </w:p>
          <w:p w14:paraId="08960CB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
              </w:rPr>
              <w:t>分，存在问题的每发现一处扣1分，扣完为止。</w:t>
            </w:r>
          </w:p>
        </w:tc>
        <w:tc>
          <w:tcPr>
            <w:tcW w:w="727" w:type="dxa"/>
            <w:vAlign w:val="center"/>
          </w:tcPr>
          <w:p w14:paraId="7213BA5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12" w:type="dxa"/>
            <w:vAlign w:val="center"/>
          </w:tcPr>
          <w:p w14:paraId="7D90BB3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r>
      <w:tr w14:paraId="74F2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52" w:type="dxa"/>
            <w:vAlign w:val="center"/>
          </w:tcPr>
          <w:p w14:paraId="0A4ACF4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4</w:t>
            </w:r>
          </w:p>
        </w:tc>
        <w:tc>
          <w:tcPr>
            <w:tcW w:w="727" w:type="dxa"/>
            <w:vMerge w:val="continue"/>
            <w:tcBorders/>
            <w:vAlign w:val="center"/>
          </w:tcPr>
          <w:p w14:paraId="6722F1B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80" w:type="dxa"/>
            <w:vMerge w:val="continue"/>
            <w:tcBorders/>
            <w:vAlign w:val="center"/>
          </w:tcPr>
          <w:p w14:paraId="628975C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67" w:type="dxa"/>
            <w:vAlign w:val="center"/>
          </w:tcPr>
          <w:p w14:paraId="0A7746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资金</w:t>
            </w:r>
          </w:p>
          <w:p w14:paraId="20911D2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到位</w:t>
            </w:r>
          </w:p>
        </w:tc>
        <w:tc>
          <w:tcPr>
            <w:tcW w:w="632" w:type="dxa"/>
            <w:vAlign w:val="center"/>
          </w:tcPr>
          <w:p w14:paraId="50EE55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3186" w:type="dxa"/>
            <w:vAlign w:val="center"/>
          </w:tcPr>
          <w:p w14:paraId="74E0DC6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
              </w:rPr>
              <w:t>符合条件的项目补助资金是否全部核算发放到位。</w:t>
            </w:r>
          </w:p>
        </w:tc>
        <w:tc>
          <w:tcPr>
            <w:tcW w:w="6091" w:type="dxa"/>
            <w:vAlign w:val="center"/>
          </w:tcPr>
          <w:p w14:paraId="71F830B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核发到位得2分，否则不得分。</w:t>
            </w:r>
          </w:p>
          <w:p w14:paraId="2F24567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0"/>
                <w:szCs w:val="20"/>
                <w:vertAlign w:val="baseline"/>
              </w:rPr>
            </w:pPr>
          </w:p>
        </w:tc>
        <w:tc>
          <w:tcPr>
            <w:tcW w:w="727" w:type="dxa"/>
            <w:vAlign w:val="center"/>
          </w:tcPr>
          <w:p w14:paraId="5B6187E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12" w:type="dxa"/>
            <w:vAlign w:val="center"/>
          </w:tcPr>
          <w:p w14:paraId="339A0CD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r>
      <w:tr w14:paraId="28DD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52" w:type="dxa"/>
            <w:vAlign w:val="center"/>
          </w:tcPr>
          <w:p w14:paraId="0BCA5C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5</w:t>
            </w:r>
          </w:p>
        </w:tc>
        <w:tc>
          <w:tcPr>
            <w:tcW w:w="727" w:type="dxa"/>
            <w:vMerge w:val="continue"/>
            <w:tcBorders/>
            <w:vAlign w:val="center"/>
          </w:tcPr>
          <w:p w14:paraId="13C5462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80" w:type="dxa"/>
            <w:vMerge w:val="restart"/>
            <w:vAlign w:val="center"/>
          </w:tcPr>
          <w:p w14:paraId="01FB54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项目管理</w:t>
            </w:r>
          </w:p>
        </w:tc>
        <w:tc>
          <w:tcPr>
            <w:tcW w:w="767" w:type="dxa"/>
            <w:vAlign w:val="center"/>
          </w:tcPr>
          <w:p w14:paraId="4FD8B2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实施方案</w:t>
            </w:r>
          </w:p>
        </w:tc>
        <w:tc>
          <w:tcPr>
            <w:tcW w:w="632" w:type="dxa"/>
            <w:vAlign w:val="center"/>
          </w:tcPr>
          <w:p w14:paraId="4092490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3186" w:type="dxa"/>
            <w:vAlign w:val="center"/>
          </w:tcPr>
          <w:p w14:paraId="6329647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
              </w:rPr>
              <w:t>是否制定实施方案并按时报送省里备案，实施方案是否符合“粮改饲”总体思路和原则、可操作性强。</w:t>
            </w:r>
          </w:p>
        </w:tc>
        <w:tc>
          <w:tcPr>
            <w:tcW w:w="6091" w:type="dxa"/>
            <w:vAlign w:val="center"/>
          </w:tcPr>
          <w:p w14:paraId="47126F9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
              </w:rPr>
              <w:t>制定实施方案并按时报送备案得1分，否则不得分；实施方案符合“粮改饲”总体思路和原则、可操作性强得4分，存在问题的每发现一处扣1分，扣完为止。</w:t>
            </w:r>
          </w:p>
        </w:tc>
        <w:tc>
          <w:tcPr>
            <w:tcW w:w="727" w:type="dxa"/>
            <w:vAlign w:val="center"/>
          </w:tcPr>
          <w:p w14:paraId="37181E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12" w:type="dxa"/>
            <w:vAlign w:val="center"/>
          </w:tcPr>
          <w:p w14:paraId="25D269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r>
      <w:tr w14:paraId="683F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52" w:type="dxa"/>
            <w:vAlign w:val="center"/>
          </w:tcPr>
          <w:p w14:paraId="35A8CA5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6</w:t>
            </w:r>
          </w:p>
        </w:tc>
        <w:tc>
          <w:tcPr>
            <w:tcW w:w="727" w:type="dxa"/>
            <w:vMerge w:val="continue"/>
            <w:tcBorders/>
            <w:vAlign w:val="center"/>
          </w:tcPr>
          <w:p w14:paraId="4E46529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80" w:type="dxa"/>
            <w:vMerge w:val="continue"/>
            <w:tcBorders/>
            <w:vAlign w:val="center"/>
          </w:tcPr>
          <w:p w14:paraId="1026372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67" w:type="dxa"/>
            <w:vAlign w:val="center"/>
          </w:tcPr>
          <w:p w14:paraId="186176C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监督</w:t>
            </w:r>
          </w:p>
          <w:p w14:paraId="02B672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管理</w:t>
            </w:r>
          </w:p>
        </w:tc>
        <w:tc>
          <w:tcPr>
            <w:tcW w:w="632" w:type="dxa"/>
            <w:vAlign w:val="center"/>
          </w:tcPr>
          <w:p w14:paraId="080B32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3186" w:type="dxa"/>
            <w:vAlign w:val="center"/>
          </w:tcPr>
          <w:p w14:paraId="48A3E67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
              </w:rPr>
              <w:t>是否制定监督管理制度，制度是否全面完善，是否按计划组织项目督导检查和绩效评价，工作开展是否细致到位，是否按要求及时报送“粮改饲”进度信息。</w:t>
            </w:r>
          </w:p>
        </w:tc>
        <w:tc>
          <w:tcPr>
            <w:tcW w:w="6091" w:type="dxa"/>
            <w:vAlign w:val="center"/>
          </w:tcPr>
          <w:p w14:paraId="045C4EB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
              </w:rPr>
              <w:t>制定监督管理制度得1分，否则不得分；制度全面完善得1分，存在问题的每发现一处扣0.2分，扣完为止；按计划组织督导检查和绩效评价，工作开展细致到位得3分，存在问题的每发现一处扣1分，扣完为止；按要求及时报送工作进度信息得2分，否则不得分。</w:t>
            </w:r>
          </w:p>
        </w:tc>
        <w:tc>
          <w:tcPr>
            <w:tcW w:w="727" w:type="dxa"/>
            <w:vAlign w:val="center"/>
          </w:tcPr>
          <w:p w14:paraId="584B05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12" w:type="dxa"/>
            <w:vAlign w:val="center"/>
          </w:tcPr>
          <w:p w14:paraId="1EE7D46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r>
      <w:tr w14:paraId="1840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52" w:type="dxa"/>
            <w:vAlign w:val="center"/>
          </w:tcPr>
          <w:p w14:paraId="7BE186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7</w:t>
            </w:r>
          </w:p>
        </w:tc>
        <w:tc>
          <w:tcPr>
            <w:tcW w:w="727" w:type="dxa"/>
            <w:vMerge w:val="continue"/>
            <w:tcBorders/>
            <w:vAlign w:val="center"/>
          </w:tcPr>
          <w:p w14:paraId="527DC5E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80" w:type="dxa"/>
            <w:vMerge w:val="continue"/>
            <w:tcBorders/>
            <w:vAlign w:val="center"/>
          </w:tcPr>
          <w:p w14:paraId="30F952D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67" w:type="dxa"/>
            <w:vAlign w:val="center"/>
          </w:tcPr>
          <w:p w14:paraId="39B1D7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培训推广</w:t>
            </w:r>
          </w:p>
        </w:tc>
        <w:tc>
          <w:tcPr>
            <w:tcW w:w="632" w:type="dxa"/>
            <w:vAlign w:val="center"/>
          </w:tcPr>
          <w:p w14:paraId="09A7CE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3186" w:type="dxa"/>
            <w:vAlign w:val="center"/>
          </w:tcPr>
          <w:p w14:paraId="66F93A4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是否组织开展技术推广服务和</w:t>
            </w:r>
          </w:p>
          <w:p w14:paraId="0EEB3D5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培训，是否组织有关单位深入一</w:t>
            </w:r>
          </w:p>
          <w:p w14:paraId="1088B76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线指导生产作业、开展技术培</w:t>
            </w:r>
          </w:p>
          <w:p w14:paraId="5D081C4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
              </w:rPr>
              <w:t>训。</w:t>
            </w:r>
          </w:p>
        </w:tc>
        <w:tc>
          <w:tcPr>
            <w:tcW w:w="6091" w:type="dxa"/>
            <w:vAlign w:val="center"/>
          </w:tcPr>
          <w:p w14:paraId="54D25D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制</w:t>
            </w:r>
            <w:r>
              <w:rPr>
                <w:rFonts w:hint="eastAsia" w:ascii="仿宋_GB2312" w:hAnsi="仿宋_GB2312" w:eastAsia="仿宋_GB2312" w:cs="仿宋_GB2312"/>
                <w:color w:val="000000"/>
                <w:kern w:val="0"/>
                <w:sz w:val="20"/>
                <w:szCs w:val="20"/>
                <w:lang w:val="en-US" w:eastAsia="zh-CN" w:bidi="ar"/>
              </w:rPr>
              <w:t>组织开展技术推广服务和培训得1分，否则不得分；组</w:t>
            </w:r>
          </w:p>
          <w:p w14:paraId="1F2E29D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织有关单位深入一线指导生产作业、开展技术培训，范</w:t>
            </w:r>
          </w:p>
          <w:p w14:paraId="6416091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围基本覆盖种养及收贮主体、效果好得2分，否则酌情</w:t>
            </w:r>
          </w:p>
          <w:p w14:paraId="6353A78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
              </w:rPr>
              <w:t>扣分。</w:t>
            </w:r>
          </w:p>
        </w:tc>
        <w:tc>
          <w:tcPr>
            <w:tcW w:w="727" w:type="dxa"/>
            <w:vAlign w:val="center"/>
          </w:tcPr>
          <w:p w14:paraId="2F34678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12" w:type="dxa"/>
            <w:vAlign w:val="center"/>
          </w:tcPr>
          <w:p w14:paraId="4587B2E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r>
      <w:tr w14:paraId="395A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9" w:hRule="atLeast"/>
        </w:trPr>
        <w:tc>
          <w:tcPr>
            <w:tcW w:w="552" w:type="dxa"/>
            <w:vAlign w:val="center"/>
          </w:tcPr>
          <w:p w14:paraId="0400D22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8</w:t>
            </w:r>
          </w:p>
        </w:tc>
        <w:tc>
          <w:tcPr>
            <w:tcW w:w="727" w:type="dxa"/>
            <w:vMerge w:val="continue"/>
            <w:tcBorders/>
            <w:vAlign w:val="center"/>
          </w:tcPr>
          <w:p w14:paraId="7B71A3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80" w:type="dxa"/>
            <w:vAlign w:val="center"/>
          </w:tcPr>
          <w:p w14:paraId="5B359CF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宣传总结</w:t>
            </w:r>
          </w:p>
        </w:tc>
        <w:tc>
          <w:tcPr>
            <w:tcW w:w="767" w:type="dxa"/>
            <w:vAlign w:val="center"/>
          </w:tcPr>
          <w:p w14:paraId="107DB79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宣传报道</w:t>
            </w:r>
          </w:p>
        </w:tc>
        <w:tc>
          <w:tcPr>
            <w:tcW w:w="632" w:type="dxa"/>
            <w:vAlign w:val="center"/>
          </w:tcPr>
          <w:p w14:paraId="2FCCEA2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3186" w:type="dxa"/>
            <w:vAlign w:val="center"/>
          </w:tcPr>
          <w:p w14:paraId="42247A2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是否重视宣传工作并积极组织</w:t>
            </w:r>
          </w:p>
          <w:p w14:paraId="588FF5F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
              </w:rPr>
              <w:t>媒体进行报道。</w:t>
            </w:r>
          </w:p>
        </w:tc>
        <w:tc>
          <w:tcPr>
            <w:tcW w:w="6091" w:type="dxa"/>
            <w:vAlign w:val="center"/>
          </w:tcPr>
          <w:p w14:paraId="28E0734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组织媒体进行报道得2分，有关工作被县级媒体正面报</w:t>
            </w:r>
          </w:p>
          <w:p w14:paraId="61B97D8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
              </w:rPr>
              <w:t>道得2分，否则不得分。</w:t>
            </w:r>
          </w:p>
        </w:tc>
        <w:tc>
          <w:tcPr>
            <w:tcW w:w="727" w:type="dxa"/>
            <w:vAlign w:val="center"/>
          </w:tcPr>
          <w:p w14:paraId="1268728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12" w:type="dxa"/>
            <w:vAlign w:val="center"/>
          </w:tcPr>
          <w:p w14:paraId="0DE226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r>
      <w:tr w14:paraId="053A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27" w:hRule="atLeast"/>
        </w:trPr>
        <w:tc>
          <w:tcPr>
            <w:tcW w:w="552" w:type="dxa"/>
            <w:vMerge w:val="restart"/>
            <w:vAlign w:val="center"/>
          </w:tcPr>
          <w:p w14:paraId="5A07731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序</w:t>
            </w:r>
          </w:p>
          <w:p w14:paraId="15CA87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eastAsia="zh-CN"/>
              </w:rPr>
              <w:t>号</w:t>
            </w:r>
          </w:p>
        </w:tc>
        <w:tc>
          <w:tcPr>
            <w:tcW w:w="2274" w:type="dxa"/>
            <w:gridSpan w:val="3"/>
            <w:tcBorders/>
            <w:vAlign w:val="center"/>
          </w:tcPr>
          <w:p w14:paraId="6892B7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eastAsia="zh-CN"/>
              </w:rPr>
              <w:t>评价指标</w:t>
            </w:r>
          </w:p>
        </w:tc>
        <w:tc>
          <w:tcPr>
            <w:tcW w:w="632" w:type="dxa"/>
            <w:vMerge w:val="restart"/>
            <w:vAlign w:val="center"/>
          </w:tcPr>
          <w:p w14:paraId="476662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eastAsia="zh-CN"/>
              </w:rPr>
              <w:t>分值</w:t>
            </w:r>
          </w:p>
        </w:tc>
        <w:tc>
          <w:tcPr>
            <w:tcW w:w="3186" w:type="dxa"/>
            <w:vMerge w:val="restart"/>
            <w:vAlign w:val="center"/>
          </w:tcPr>
          <w:p w14:paraId="0920D8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eastAsia="zh-CN"/>
              </w:rPr>
              <w:t>指标解释</w:t>
            </w:r>
          </w:p>
        </w:tc>
        <w:tc>
          <w:tcPr>
            <w:tcW w:w="6091" w:type="dxa"/>
            <w:vMerge w:val="restart"/>
            <w:vAlign w:val="center"/>
          </w:tcPr>
          <w:p w14:paraId="43A10D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eastAsia="zh-CN"/>
              </w:rPr>
              <w:t>评价标准</w:t>
            </w:r>
          </w:p>
        </w:tc>
        <w:tc>
          <w:tcPr>
            <w:tcW w:w="727" w:type="dxa"/>
            <w:vMerge w:val="restart"/>
            <w:vAlign w:val="center"/>
          </w:tcPr>
          <w:p w14:paraId="1033220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eastAsia="zh-CN"/>
              </w:rPr>
              <w:t>自评依据</w:t>
            </w:r>
          </w:p>
        </w:tc>
        <w:tc>
          <w:tcPr>
            <w:tcW w:w="712" w:type="dxa"/>
            <w:vMerge w:val="restart"/>
            <w:vAlign w:val="center"/>
          </w:tcPr>
          <w:p w14:paraId="7D7004C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eastAsia="zh-CN"/>
              </w:rPr>
              <w:t>自评分数</w:t>
            </w:r>
          </w:p>
        </w:tc>
      </w:tr>
      <w:tr w14:paraId="0F91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9" w:hRule="atLeast"/>
        </w:trPr>
        <w:tc>
          <w:tcPr>
            <w:tcW w:w="552" w:type="dxa"/>
            <w:vMerge w:val="continue"/>
            <w:tcBorders/>
            <w:vAlign w:val="center"/>
          </w:tcPr>
          <w:p w14:paraId="7FFA591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p>
        </w:tc>
        <w:tc>
          <w:tcPr>
            <w:tcW w:w="727" w:type="dxa"/>
            <w:tcBorders/>
            <w:vAlign w:val="center"/>
          </w:tcPr>
          <w:p w14:paraId="5BA1BFD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一级</w:t>
            </w:r>
          </w:p>
          <w:p w14:paraId="584B11D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eastAsia="zh-CN"/>
              </w:rPr>
              <w:t>指标</w:t>
            </w:r>
          </w:p>
        </w:tc>
        <w:tc>
          <w:tcPr>
            <w:tcW w:w="780" w:type="dxa"/>
            <w:vAlign w:val="center"/>
          </w:tcPr>
          <w:p w14:paraId="23ADD19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二级</w:t>
            </w:r>
          </w:p>
          <w:p w14:paraId="620FEB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eastAsia="zh-CN"/>
              </w:rPr>
              <w:t>指标</w:t>
            </w:r>
          </w:p>
        </w:tc>
        <w:tc>
          <w:tcPr>
            <w:tcW w:w="767" w:type="dxa"/>
            <w:vAlign w:val="center"/>
          </w:tcPr>
          <w:p w14:paraId="3D49BD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三级</w:t>
            </w:r>
          </w:p>
          <w:p w14:paraId="0CE65B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eastAsia="zh-CN"/>
              </w:rPr>
              <w:t>指标</w:t>
            </w:r>
          </w:p>
        </w:tc>
        <w:tc>
          <w:tcPr>
            <w:tcW w:w="632" w:type="dxa"/>
            <w:vMerge w:val="continue"/>
            <w:tcBorders/>
            <w:vAlign w:val="center"/>
          </w:tcPr>
          <w:p w14:paraId="764758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3186" w:type="dxa"/>
            <w:vMerge w:val="continue"/>
            <w:tcBorders/>
            <w:vAlign w:val="center"/>
          </w:tcPr>
          <w:p w14:paraId="5B927C3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
              </w:rPr>
            </w:pPr>
          </w:p>
        </w:tc>
        <w:tc>
          <w:tcPr>
            <w:tcW w:w="6091" w:type="dxa"/>
            <w:vMerge w:val="continue"/>
            <w:tcBorders/>
            <w:vAlign w:val="center"/>
          </w:tcPr>
          <w:p w14:paraId="2F5587D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
              </w:rPr>
            </w:pPr>
          </w:p>
        </w:tc>
        <w:tc>
          <w:tcPr>
            <w:tcW w:w="727" w:type="dxa"/>
            <w:vMerge w:val="continue"/>
            <w:tcBorders/>
            <w:vAlign w:val="center"/>
          </w:tcPr>
          <w:p w14:paraId="6B91D87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12" w:type="dxa"/>
            <w:vMerge w:val="continue"/>
            <w:tcBorders/>
            <w:vAlign w:val="center"/>
          </w:tcPr>
          <w:p w14:paraId="706FCA0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r>
      <w:tr w14:paraId="62CA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52" w:type="dxa"/>
            <w:vAlign w:val="center"/>
          </w:tcPr>
          <w:p w14:paraId="1FB902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p>
        </w:tc>
        <w:tc>
          <w:tcPr>
            <w:tcW w:w="727" w:type="dxa"/>
            <w:vMerge w:val="restart"/>
            <w:tcBorders/>
            <w:vAlign w:val="center"/>
          </w:tcPr>
          <w:p w14:paraId="2C6BBC7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投入和</w:t>
            </w:r>
          </w:p>
          <w:p w14:paraId="2883367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过程</w:t>
            </w:r>
          </w:p>
        </w:tc>
        <w:tc>
          <w:tcPr>
            <w:tcW w:w="780" w:type="dxa"/>
            <w:vMerge w:val="restart"/>
            <w:vAlign w:val="center"/>
          </w:tcPr>
          <w:p w14:paraId="618CF93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p>
        </w:tc>
        <w:tc>
          <w:tcPr>
            <w:tcW w:w="767" w:type="dxa"/>
            <w:vAlign w:val="center"/>
          </w:tcPr>
          <w:p w14:paraId="52B8347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p>
        </w:tc>
        <w:tc>
          <w:tcPr>
            <w:tcW w:w="632" w:type="dxa"/>
            <w:vAlign w:val="center"/>
          </w:tcPr>
          <w:p w14:paraId="5918403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3186" w:type="dxa"/>
            <w:vAlign w:val="center"/>
          </w:tcPr>
          <w:p w14:paraId="3FCE506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
              </w:rPr>
            </w:pPr>
          </w:p>
        </w:tc>
        <w:tc>
          <w:tcPr>
            <w:tcW w:w="6091" w:type="dxa"/>
            <w:vAlign w:val="center"/>
          </w:tcPr>
          <w:p w14:paraId="12F1B51B">
            <w:pPr>
              <w:keepNext w:val="0"/>
              <w:keepLines w:val="0"/>
              <w:widowControl/>
              <w:suppressLineNumbers w:val="0"/>
              <w:jc w:val="left"/>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本项工作设加分项2分：有关工作被省级媒体正面宣传报道加2分。</w:t>
            </w:r>
          </w:p>
        </w:tc>
        <w:tc>
          <w:tcPr>
            <w:tcW w:w="727" w:type="dxa"/>
            <w:vAlign w:val="center"/>
          </w:tcPr>
          <w:p w14:paraId="4276B5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12" w:type="dxa"/>
            <w:vAlign w:val="center"/>
          </w:tcPr>
          <w:p w14:paraId="1A596D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r>
      <w:tr w14:paraId="4DB7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9" w:hRule="atLeast"/>
        </w:trPr>
        <w:tc>
          <w:tcPr>
            <w:tcW w:w="552" w:type="dxa"/>
            <w:vAlign w:val="center"/>
          </w:tcPr>
          <w:p w14:paraId="43D3E05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9</w:t>
            </w:r>
          </w:p>
        </w:tc>
        <w:tc>
          <w:tcPr>
            <w:tcW w:w="727" w:type="dxa"/>
            <w:vMerge w:val="continue"/>
            <w:tcBorders/>
            <w:vAlign w:val="center"/>
          </w:tcPr>
          <w:p w14:paraId="219B573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80" w:type="dxa"/>
            <w:vMerge w:val="continue"/>
            <w:tcBorders/>
            <w:vAlign w:val="center"/>
          </w:tcPr>
          <w:p w14:paraId="1CF2E69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p>
        </w:tc>
        <w:tc>
          <w:tcPr>
            <w:tcW w:w="767" w:type="dxa"/>
            <w:vAlign w:val="center"/>
          </w:tcPr>
          <w:p w14:paraId="09AEB530">
            <w:pPr>
              <w:keepNext w:val="0"/>
              <w:keepLines w:val="0"/>
              <w:widowControl/>
              <w:suppressLineNumbers w:val="0"/>
              <w:jc w:val="center"/>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color w:val="000000"/>
                <w:kern w:val="0"/>
                <w:sz w:val="20"/>
                <w:szCs w:val="20"/>
                <w:lang w:val="en-US" w:eastAsia="zh-CN" w:bidi="ar"/>
              </w:rPr>
              <w:t>经验总结</w:t>
            </w:r>
          </w:p>
        </w:tc>
        <w:tc>
          <w:tcPr>
            <w:tcW w:w="632" w:type="dxa"/>
            <w:vAlign w:val="center"/>
          </w:tcPr>
          <w:p w14:paraId="761FB1C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4</w:t>
            </w:r>
          </w:p>
          <w:p w14:paraId="3B283B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(+4)</w:t>
            </w:r>
          </w:p>
        </w:tc>
        <w:tc>
          <w:tcPr>
            <w:tcW w:w="3186" w:type="dxa"/>
            <w:vAlign w:val="center"/>
          </w:tcPr>
          <w:p w14:paraId="30B417FA">
            <w:pPr>
              <w:keepNext w:val="0"/>
              <w:keepLines w:val="0"/>
              <w:widowControl/>
              <w:suppressLineNumbers w:val="0"/>
              <w:jc w:val="left"/>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是否及时总结成功模式，挖掘亮点、树立典型，是否按要求报送绩效自评报告和工作总结。</w:t>
            </w:r>
          </w:p>
          <w:p w14:paraId="5E24622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
              </w:rPr>
            </w:pPr>
          </w:p>
        </w:tc>
        <w:tc>
          <w:tcPr>
            <w:tcW w:w="6091" w:type="dxa"/>
            <w:vAlign w:val="center"/>
          </w:tcPr>
          <w:p w14:paraId="335A63EB">
            <w:pPr>
              <w:keepNext w:val="0"/>
              <w:keepLines w:val="0"/>
              <w:widowControl/>
              <w:suppressLineNumbers w:val="0"/>
              <w:jc w:val="left"/>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能够及时总结成功模式，挖掘亮点、树立典型得2分，按要求及时报送绩效自评报告得1分，报送工作总结得1分，否则不得分。本项工作设加分项4分：“粮改饲”典型经验在国家层面进行推广介绍加2分；工作成效得到省部级领导肯定批示加2分，得到党和国家领导人肯定批示加4分，批示加分不累加，最高4分。</w:t>
            </w:r>
          </w:p>
        </w:tc>
        <w:tc>
          <w:tcPr>
            <w:tcW w:w="727" w:type="dxa"/>
            <w:vAlign w:val="center"/>
          </w:tcPr>
          <w:p w14:paraId="4BC94B8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12" w:type="dxa"/>
            <w:vAlign w:val="center"/>
          </w:tcPr>
          <w:p w14:paraId="6BB2F65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r>
      <w:tr w14:paraId="2035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9" w:hRule="atLeast"/>
        </w:trPr>
        <w:tc>
          <w:tcPr>
            <w:tcW w:w="552" w:type="dxa"/>
            <w:vAlign w:val="center"/>
          </w:tcPr>
          <w:p w14:paraId="12B8788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10</w:t>
            </w:r>
          </w:p>
        </w:tc>
        <w:tc>
          <w:tcPr>
            <w:tcW w:w="727" w:type="dxa"/>
            <w:vMerge w:val="continue"/>
            <w:tcBorders/>
            <w:vAlign w:val="center"/>
          </w:tcPr>
          <w:p w14:paraId="437EC20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80" w:type="dxa"/>
            <w:vMerge w:val="restart"/>
            <w:vAlign w:val="center"/>
          </w:tcPr>
          <w:p w14:paraId="43E6092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机制创新</w:t>
            </w:r>
          </w:p>
        </w:tc>
        <w:tc>
          <w:tcPr>
            <w:tcW w:w="767" w:type="dxa"/>
            <w:vAlign w:val="center"/>
          </w:tcPr>
          <w:p w14:paraId="1B72A9E3">
            <w:pPr>
              <w:keepNext w:val="0"/>
              <w:keepLines w:val="0"/>
              <w:widowControl/>
              <w:suppressLineNumbers w:val="0"/>
              <w:jc w:val="center"/>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color w:val="000000"/>
                <w:kern w:val="0"/>
                <w:sz w:val="20"/>
                <w:szCs w:val="20"/>
                <w:lang w:val="en-US" w:eastAsia="zh-CN" w:bidi="ar"/>
              </w:rPr>
              <w:t>政策联动</w:t>
            </w:r>
          </w:p>
        </w:tc>
        <w:tc>
          <w:tcPr>
            <w:tcW w:w="632" w:type="dxa"/>
            <w:vAlign w:val="center"/>
          </w:tcPr>
          <w:p w14:paraId="4DB19D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2</w:t>
            </w:r>
          </w:p>
        </w:tc>
        <w:tc>
          <w:tcPr>
            <w:tcW w:w="3186" w:type="dxa"/>
            <w:vAlign w:val="center"/>
          </w:tcPr>
          <w:p w14:paraId="5996D44A">
            <w:pPr>
              <w:keepNext w:val="0"/>
              <w:keepLines w:val="0"/>
              <w:widowControl/>
              <w:suppressLineNumbers w:val="0"/>
              <w:jc w:val="left"/>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是否在财政支持、产业扶贫等政策联动上有新突破。</w:t>
            </w:r>
          </w:p>
        </w:tc>
        <w:tc>
          <w:tcPr>
            <w:tcW w:w="6091" w:type="dxa"/>
            <w:vAlign w:val="center"/>
          </w:tcPr>
          <w:p w14:paraId="1DEB3FE8">
            <w:pPr>
              <w:keepNext w:val="0"/>
              <w:keepLines w:val="0"/>
              <w:widowControl/>
              <w:suppressLineNumbers w:val="0"/>
              <w:jc w:val="left"/>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有创新得2分，否则不得分。</w:t>
            </w:r>
          </w:p>
        </w:tc>
        <w:tc>
          <w:tcPr>
            <w:tcW w:w="727" w:type="dxa"/>
            <w:vAlign w:val="center"/>
          </w:tcPr>
          <w:p w14:paraId="5000582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12" w:type="dxa"/>
            <w:vAlign w:val="center"/>
          </w:tcPr>
          <w:p w14:paraId="7A51C52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r>
      <w:tr w14:paraId="4625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9" w:hRule="atLeast"/>
        </w:trPr>
        <w:tc>
          <w:tcPr>
            <w:tcW w:w="552" w:type="dxa"/>
            <w:vAlign w:val="center"/>
          </w:tcPr>
          <w:p w14:paraId="57F922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11</w:t>
            </w:r>
          </w:p>
        </w:tc>
        <w:tc>
          <w:tcPr>
            <w:tcW w:w="727" w:type="dxa"/>
            <w:vMerge w:val="continue"/>
            <w:tcBorders/>
            <w:vAlign w:val="center"/>
          </w:tcPr>
          <w:p w14:paraId="2F23E9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80" w:type="dxa"/>
            <w:vMerge w:val="continue"/>
            <w:tcBorders/>
            <w:vAlign w:val="center"/>
          </w:tcPr>
          <w:p w14:paraId="3C173F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p>
        </w:tc>
        <w:tc>
          <w:tcPr>
            <w:tcW w:w="767" w:type="dxa"/>
            <w:vAlign w:val="center"/>
          </w:tcPr>
          <w:p w14:paraId="197BE61E">
            <w:pPr>
              <w:keepNext w:val="0"/>
              <w:keepLines w:val="0"/>
              <w:widowControl/>
              <w:suppressLineNumbers w:val="0"/>
              <w:jc w:val="center"/>
              <w:rPr>
                <w:rFonts w:hint="eastAsia" w:ascii="仿宋_GB2312" w:hAnsi="仿宋_GB2312" w:eastAsia="仿宋_GB2312" w:cs="仿宋_GB2312"/>
                <w:color w:val="000000"/>
                <w:spacing w:val="-20"/>
                <w:kern w:val="0"/>
                <w:sz w:val="20"/>
                <w:szCs w:val="20"/>
                <w:lang w:val="en-US" w:eastAsia="zh-CN" w:bidi="ar"/>
              </w:rPr>
            </w:pPr>
            <w:r>
              <w:rPr>
                <w:rFonts w:hint="eastAsia" w:ascii="仿宋_GB2312" w:hAnsi="仿宋_GB2312" w:eastAsia="仿宋_GB2312" w:cs="仿宋_GB2312"/>
                <w:color w:val="000000"/>
                <w:spacing w:val="-20"/>
                <w:kern w:val="0"/>
                <w:sz w:val="20"/>
                <w:szCs w:val="20"/>
                <w:lang w:val="en-US" w:eastAsia="zh-CN" w:bidi="ar"/>
              </w:rPr>
              <w:t>激发</w:t>
            </w:r>
          </w:p>
          <w:p w14:paraId="69960D88">
            <w:pPr>
              <w:keepNext w:val="0"/>
              <w:keepLines w:val="0"/>
              <w:widowControl/>
              <w:suppressLineNumbers w:val="0"/>
              <w:jc w:val="center"/>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color w:val="000000"/>
                <w:spacing w:val="-20"/>
                <w:kern w:val="0"/>
                <w:sz w:val="20"/>
                <w:szCs w:val="20"/>
                <w:lang w:val="en-US" w:eastAsia="zh-CN" w:bidi="ar"/>
              </w:rPr>
              <w:t>积极性</w:t>
            </w:r>
          </w:p>
        </w:tc>
        <w:tc>
          <w:tcPr>
            <w:tcW w:w="632" w:type="dxa"/>
            <w:vAlign w:val="center"/>
          </w:tcPr>
          <w:p w14:paraId="62616C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2</w:t>
            </w:r>
          </w:p>
        </w:tc>
        <w:tc>
          <w:tcPr>
            <w:tcW w:w="3186" w:type="dxa"/>
            <w:vAlign w:val="center"/>
          </w:tcPr>
          <w:p w14:paraId="3D896916">
            <w:pPr>
              <w:keepNext w:val="0"/>
              <w:keepLines w:val="0"/>
              <w:widowControl/>
              <w:suppressLineNumbers w:val="0"/>
              <w:jc w:val="left"/>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是否在激发收贮主体参与积极性上有新方式。</w:t>
            </w:r>
          </w:p>
        </w:tc>
        <w:tc>
          <w:tcPr>
            <w:tcW w:w="6091" w:type="dxa"/>
            <w:vAlign w:val="center"/>
          </w:tcPr>
          <w:p w14:paraId="0DBAA17A">
            <w:pPr>
              <w:keepNext w:val="0"/>
              <w:keepLines w:val="0"/>
              <w:widowControl/>
              <w:suppressLineNumbers w:val="0"/>
              <w:jc w:val="left"/>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有创新得2分，否则不得分。</w:t>
            </w:r>
          </w:p>
        </w:tc>
        <w:tc>
          <w:tcPr>
            <w:tcW w:w="727" w:type="dxa"/>
            <w:vAlign w:val="center"/>
          </w:tcPr>
          <w:p w14:paraId="2A8175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12" w:type="dxa"/>
            <w:vAlign w:val="center"/>
          </w:tcPr>
          <w:p w14:paraId="1A955D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r>
      <w:tr w14:paraId="45A3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9" w:hRule="atLeast"/>
        </w:trPr>
        <w:tc>
          <w:tcPr>
            <w:tcW w:w="552" w:type="dxa"/>
            <w:vAlign w:val="center"/>
          </w:tcPr>
          <w:p w14:paraId="14F21F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12</w:t>
            </w:r>
          </w:p>
        </w:tc>
        <w:tc>
          <w:tcPr>
            <w:tcW w:w="727" w:type="dxa"/>
            <w:vMerge w:val="continue"/>
            <w:tcBorders/>
            <w:vAlign w:val="center"/>
          </w:tcPr>
          <w:p w14:paraId="683AAB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80" w:type="dxa"/>
            <w:vMerge w:val="continue"/>
            <w:tcBorders/>
            <w:vAlign w:val="center"/>
          </w:tcPr>
          <w:p w14:paraId="40DF0AD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p>
        </w:tc>
        <w:tc>
          <w:tcPr>
            <w:tcW w:w="767" w:type="dxa"/>
            <w:vAlign w:val="center"/>
          </w:tcPr>
          <w:p w14:paraId="69FFBBE3">
            <w:pPr>
              <w:keepNext w:val="0"/>
              <w:keepLines w:val="0"/>
              <w:widowControl/>
              <w:suppressLineNumbers w:val="0"/>
              <w:jc w:val="center"/>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color w:val="000000"/>
                <w:kern w:val="0"/>
                <w:sz w:val="20"/>
                <w:szCs w:val="20"/>
                <w:lang w:val="en-US" w:eastAsia="zh-CN" w:bidi="ar"/>
              </w:rPr>
              <w:t>协调发展</w:t>
            </w:r>
          </w:p>
        </w:tc>
        <w:tc>
          <w:tcPr>
            <w:tcW w:w="632" w:type="dxa"/>
            <w:vAlign w:val="center"/>
          </w:tcPr>
          <w:p w14:paraId="32039D5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2</w:t>
            </w:r>
          </w:p>
        </w:tc>
        <w:tc>
          <w:tcPr>
            <w:tcW w:w="3186" w:type="dxa"/>
            <w:vAlign w:val="center"/>
          </w:tcPr>
          <w:p w14:paraId="70837A85">
            <w:pPr>
              <w:keepNext w:val="0"/>
              <w:keepLines w:val="0"/>
              <w:widowControl/>
              <w:suppressLineNumbers w:val="0"/>
              <w:jc w:val="left"/>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是否在促进一二三产业融合、种养两端绿色协调发展上有新手段。</w:t>
            </w:r>
          </w:p>
        </w:tc>
        <w:tc>
          <w:tcPr>
            <w:tcW w:w="6091" w:type="dxa"/>
            <w:vAlign w:val="center"/>
          </w:tcPr>
          <w:p w14:paraId="7965B084">
            <w:pPr>
              <w:keepNext w:val="0"/>
              <w:keepLines w:val="0"/>
              <w:widowControl/>
              <w:suppressLineNumbers w:val="0"/>
              <w:jc w:val="left"/>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有创新得2分，否则不得分。</w:t>
            </w:r>
          </w:p>
        </w:tc>
        <w:tc>
          <w:tcPr>
            <w:tcW w:w="727" w:type="dxa"/>
            <w:vAlign w:val="center"/>
          </w:tcPr>
          <w:p w14:paraId="3C2C21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12" w:type="dxa"/>
            <w:vAlign w:val="center"/>
          </w:tcPr>
          <w:p w14:paraId="7F2E03A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r>
      <w:tr w14:paraId="794C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9" w:hRule="atLeast"/>
        </w:trPr>
        <w:tc>
          <w:tcPr>
            <w:tcW w:w="552" w:type="dxa"/>
            <w:vAlign w:val="center"/>
          </w:tcPr>
          <w:p w14:paraId="0BC9F7A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13</w:t>
            </w:r>
          </w:p>
        </w:tc>
        <w:tc>
          <w:tcPr>
            <w:tcW w:w="727" w:type="dxa"/>
            <w:vMerge w:val="continue"/>
            <w:tcBorders/>
            <w:vAlign w:val="center"/>
          </w:tcPr>
          <w:p w14:paraId="253ED88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80" w:type="dxa"/>
            <w:vMerge w:val="continue"/>
            <w:tcBorders/>
            <w:vAlign w:val="center"/>
          </w:tcPr>
          <w:p w14:paraId="5CE968A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p>
        </w:tc>
        <w:tc>
          <w:tcPr>
            <w:tcW w:w="767" w:type="dxa"/>
            <w:vAlign w:val="center"/>
          </w:tcPr>
          <w:p w14:paraId="6EBDD0CD">
            <w:pPr>
              <w:keepNext w:val="0"/>
              <w:keepLines w:val="0"/>
              <w:widowControl/>
              <w:suppressLineNumbers w:val="0"/>
              <w:jc w:val="center"/>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color w:val="000000"/>
                <w:kern w:val="0"/>
                <w:sz w:val="20"/>
                <w:szCs w:val="20"/>
                <w:lang w:val="en-US" w:eastAsia="zh-CN" w:bidi="ar"/>
              </w:rPr>
              <w:t>其他创新</w:t>
            </w:r>
          </w:p>
        </w:tc>
        <w:tc>
          <w:tcPr>
            <w:tcW w:w="632" w:type="dxa"/>
            <w:vAlign w:val="center"/>
          </w:tcPr>
          <w:p w14:paraId="607B7B8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4</w:t>
            </w:r>
          </w:p>
        </w:tc>
        <w:tc>
          <w:tcPr>
            <w:tcW w:w="3186" w:type="dxa"/>
            <w:vAlign w:val="center"/>
          </w:tcPr>
          <w:p w14:paraId="74381DF0">
            <w:pPr>
              <w:keepNext w:val="0"/>
              <w:keepLines w:val="0"/>
              <w:widowControl/>
              <w:suppressLineNumbers w:val="0"/>
              <w:jc w:val="left"/>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是否在“粮改饲”工作方法、制度机制等方面有其他创新。</w:t>
            </w:r>
          </w:p>
        </w:tc>
        <w:tc>
          <w:tcPr>
            <w:tcW w:w="6091" w:type="dxa"/>
            <w:vAlign w:val="center"/>
          </w:tcPr>
          <w:p w14:paraId="0D6EB821">
            <w:pPr>
              <w:keepNext w:val="0"/>
              <w:keepLines w:val="0"/>
              <w:widowControl/>
              <w:suppressLineNumbers w:val="0"/>
              <w:jc w:val="left"/>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有创新并且取得一定效果、有实例、可复制得4分，否则不得分。</w:t>
            </w:r>
          </w:p>
        </w:tc>
        <w:tc>
          <w:tcPr>
            <w:tcW w:w="727" w:type="dxa"/>
            <w:vAlign w:val="center"/>
          </w:tcPr>
          <w:p w14:paraId="093ADD4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12" w:type="dxa"/>
            <w:vAlign w:val="center"/>
          </w:tcPr>
          <w:p w14:paraId="5394A6B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r>
      <w:tr w14:paraId="359E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9" w:hRule="atLeast"/>
        </w:trPr>
        <w:tc>
          <w:tcPr>
            <w:tcW w:w="552" w:type="dxa"/>
            <w:vAlign w:val="center"/>
          </w:tcPr>
          <w:p w14:paraId="00633C9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14</w:t>
            </w:r>
          </w:p>
        </w:tc>
        <w:tc>
          <w:tcPr>
            <w:tcW w:w="727" w:type="dxa"/>
            <w:vMerge w:val="restart"/>
            <w:tcBorders/>
            <w:vAlign w:val="center"/>
          </w:tcPr>
          <w:p w14:paraId="5177E3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产出</w:t>
            </w:r>
          </w:p>
        </w:tc>
        <w:tc>
          <w:tcPr>
            <w:tcW w:w="780" w:type="dxa"/>
            <w:vMerge w:val="restart"/>
            <w:vAlign w:val="center"/>
          </w:tcPr>
          <w:p w14:paraId="2CE4CD9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数量指标</w:t>
            </w:r>
          </w:p>
        </w:tc>
        <w:tc>
          <w:tcPr>
            <w:tcW w:w="767" w:type="dxa"/>
            <w:vAlign w:val="center"/>
          </w:tcPr>
          <w:p w14:paraId="568F5BC2">
            <w:pPr>
              <w:keepNext w:val="0"/>
              <w:keepLines w:val="0"/>
              <w:widowControl/>
              <w:suppressLineNumbers w:val="0"/>
              <w:jc w:val="center"/>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color w:val="000000"/>
                <w:spacing w:val="-20"/>
                <w:kern w:val="0"/>
                <w:sz w:val="20"/>
                <w:szCs w:val="20"/>
                <w:lang w:val="en-US" w:eastAsia="zh-CN" w:bidi="ar"/>
              </w:rPr>
              <w:t>饲草料收贮</w:t>
            </w:r>
          </w:p>
        </w:tc>
        <w:tc>
          <w:tcPr>
            <w:tcW w:w="632" w:type="dxa"/>
            <w:vAlign w:val="center"/>
          </w:tcPr>
          <w:p w14:paraId="5F997CA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10</w:t>
            </w:r>
          </w:p>
        </w:tc>
        <w:tc>
          <w:tcPr>
            <w:tcW w:w="3186" w:type="dxa"/>
            <w:vAlign w:val="center"/>
          </w:tcPr>
          <w:p w14:paraId="38949327">
            <w:pPr>
              <w:keepNext w:val="0"/>
              <w:keepLines w:val="0"/>
              <w:widowControl/>
              <w:suppressLineNumbers w:val="0"/>
              <w:jc w:val="left"/>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是否完成饲草料收储任务。</w:t>
            </w:r>
          </w:p>
        </w:tc>
        <w:tc>
          <w:tcPr>
            <w:tcW w:w="6091" w:type="dxa"/>
            <w:vAlign w:val="center"/>
          </w:tcPr>
          <w:p w14:paraId="006E2C9D">
            <w:pPr>
              <w:keepNext w:val="0"/>
              <w:keepLines w:val="0"/>
              <w:widowControl/>
              <w:suppressLineNumbers w:val="0"/>
              <w:jc w:val="left"/>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完成收贮目标任务量得10分；完成数量每少3%扣1分，扣完为止。（注：每少3%扣1分指较目标少3%（含）以内扣1分，少3%至6%（含）扣2分，以此类推，下同。）</w:t>
            </w:r>
          </w:p>
        </w:tc>
        <w:tc>
          <w:tcPr>
            <w:tcW w:w="727" w:type="dxa"/>
            <w:vAlign w:val="center"/>
          </w:tcPr>
          <w:p w14:paraId="6985579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12" w:type="dxa"/>
            <w:vAlign w:val="center"/>
          </w:tcPr>
          <w:p w14:paraId="5E0A9B7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r>
      <w:tr w14:paraId="032B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9" w:hRule="atLeast"/>
        </w:trPr>
        <w:tc>
          <w:tcPr>
            <w:tcW w:w="552" w:type="dxa"/>
            <w:vAlign w:val="center"/>
          </w:tcPr>
          <w:p w14:paraId="5D8489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15</w:t>
            </w:r>
          </w:p>
        </w:tc>
        <w:tc>
          <w:tcPr>
            <w:tcW w:w="727" w:type="dxa"/>
            <w:vMerge w:val="continue"/>
            <w:tcBorders/>
            <w:vAlign w:val="center"/>
          </w:tcPr>
          <w:p w14:paraId="58F3D34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80" w:type="dxa"/>
            <w:vMerge w:val="continue"/>
            <w:tcBorders/>
            <w:vAlign w:val="center"/>
          </w:tcPr>
          <w:p w14:paraId="7B994D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p>
        </w:tc>
        <w:tc>
          <w:tcPr>
            <w:tcW w:w="767" w:type="dxa"/>
            <w:vAlign w:val="center"/>
          </w:tcPr>
          <w:p w14:paraId="3DB66B42">
            <w:pPr>
              <w:keepNext w:val="0"/>
              <w:keepLines w:val="0"/>
              <w:widowControl/>
              <w:suppressLineNumbers w:val="0"/>
              <w:jc w:val="both"/>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color w:val="000000"/>
                <w:spacing w:val="-20"/>
                <w:kern w:val="0"/>
                <w:sz w:val="20"/>
                <w:szCs w:val="20"/>
                <w:lang w:val="en-US" w:eastAsia="zh-CN" w:bidi="ar"/>
              </w:rPr>
              <w:t>“粮改饲</w:t>
            </w:r>
            <w:r>
              <w:rPr>
                <w:rFonts w:hint="eastAsia" w:ascii="仿宋_GB2312" w:hAnsi="仿宋_GB2312" w:eastAsia="仿宋_GB2312" w:cs="仿宋_GB2312"/>
                <w:color w:val="000000"/>
                <w:spacing w:val="-20"/>
                <w:kern w:val="0"/>
                <w:sz w:val="20"/>
                <w:szCs w:val="20"/>
                <w:lang w:val="en-US" w:eastAsia="zh-CN" w:bidi="ar"/>
              </w:rPr>
              <w:t>”</w:t>
            </w:r>
            <w:r>
              <w:rPr>
                <w:rFonts w:hint="eastAsia" w:ascii="仿宋_GB2312" w:hAnsi="仿宋_GB2312" w:eastAsia="仿宋_GB2312" w:cs="仿宋_GB2312"/>
                <w:color w:val="000000"/>
                <w:spacing w:val="-20"/>
                <w:kern w:val="0"/>
                <w:sz w:val="20"/>
                <w:szCs w:val="20"/>
                <w:lang w:val="en-US" w:eastAsia="zh-CN" w:bidi="ar"/>
              </w:rPr>
              <w:t>面积</w:t>
            </w:r>
          </w:p>
        </w:tc>
        <w:tc>
          <w:tcPr>
            <w:tcW w:w="632" w:type="dxa"/>
            <w:vAlign w:val="center"/>
          </w:tcPr>
          <w:p w14:paraId="3AD6F7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10</w:t>
            </w:r>
          </w:p>
          <w:p w14:paraId="5A402AB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(+2)</w:t>
            </w:r>
          </w:p>
        </w:tc>
        <w:tc>
          <w:tcPr>
            <w:tcW w:w="3186" w:type="dxa"/>
            <w:vAlign w:val="center"/>
          </w:tcPr>
          <w:p w14:paraId="5DE1AD70">
            <w:pPr>
              <w:keepNext w:val="0"/>
              <w:keepLines w:val="0"/>
              <w:widowControl/>
              <w:suppressLineNumbers w:val="0"/>
              <w:jc w:val="left"/>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是否完成“粮改饲”面积任务。</w:t>
            </w:r>
          </w:p>
        </w:tc>
        <w:tc>
          <w:tcPr>
            <w:tcW w:w="6091" w:type="dxa"/>
            <w:vAlign w:val="center"/>
          </w:tcPr>
          <w:p w14:paraId="2862EEB4">
            <w:pPr>
              <w:keepNext w:val="0"/>
              <w:keepLines w:val="0"/>
              <w:widowControl/>
              <w:suppressLineNumbers w:val="0"/>
              <w:jc w:val="left"/>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完成“粮改饲”面积目标任务得10分；完成数量每少3%扣1分，扣完为止。本项工作设加分项2分：超额完成面积目标5%（含）至10%加1分，超过10%（含）以上加2分。</w:t>
            </w:r>
          </w:p>
        </w:tc>
        <w:tc>
          <w:tcPr>
            <w:tcW w:w="727" w:type="dxa"/>
            <w:vAlign w:val="center"/>
          </w:tcPr>
          <w:p w14:paraId="2857D0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12" w:type="dxa"/>
            <w:vAlign w:val="center"/>
          </w:tcPr>
          <w:p w14:paraId="39B4B7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r>
      <w:tr w14:paraId="363E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9" w:hRule="atLeast"/>
        </w:trPr>
        <w:tc>
          <w:tcPr>
            <w:tcW w:w="552" w:type="dxa"/>
            <w:vAlign w:val="center"/>
          </w:tcPr>
          <w:p w14:paraId="4DE89AA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16</w:t>
            </w:r>
            <w:bookmarkStart w:id="0" w:name="_GoBack"/>
            <w:bookmarkEnd w:id="0"/>
          </w:p>
        </w:tc>
        <w:tc>
          <w:tcPr>
            <w:tcW w:w="727" w:type="dxa"/>
            <w:vMerge w:val="continue"/>
            <w:tcBorders/>
            <w:vAlign w:val="center"/>
          </w:tcPr>
          <w:p w14:paraId="2D2FC5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80" w:type="dxa"/>
            <w:vAlign w:val="center"/>
          </w:tcPr>
          <w:p w14:paraId="10A34C2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质量指标</w:t>
            </w:r>
          </w:p>
        </w:tc>
        <w:tc>
          <w:tcPr>
            <w:tcW w:w="767" w:type="dxa"/>
            <w:vAlign w:val="center"/>
          </w:tcPr>
          <w:p w14:paraId="6EAA7AC6">
            <w:pPr>
              <w:keepNext w:val="0"/>
              <w:keepLines w:val="0"/>
              <w:widowControl/>
              <w:suppressLineNumbers w:val="0"/>
              <w:jc w:val="center"/>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color w:val="000000"/>
                <w:spacing w:val="-20"/>
                <w:kern w:val="0"/>
                <w:sz w:val="20"/>
                <w:szCs w:val="20"/>
                <w:lang w:val="en-US" w:eastAsia="zh-CN" w:bidi="ar"/>
              </w:rPr>
              <w:t>养殖规模化发展水平</w:t>
            </w:r>
          </w:p>
        </w:tc>
        <w:tc>
          <w:tcPr>
            <w:tcW w:w="632" w:type="dxa"/>
            <w:vAlign w:val="center"/>
          </w:tcPr>
          <w:p w14:paraId="37B70E2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5</w:t>
            </w:r>
          </w:p>
        </w:tc>
        <w:tc>
          <w:tcPr>
            <w:tcW w:w="3186" w:type="dxa"/>
            <w:vAlign w:val="center"/>
          </w:tcPr>
          <w:p w14:paraId="3828DA94">
            <w:pPr>
              <w:keepNext w:val="0"/>
              <w:keepLines w:val="0"/>
              <w:widowControl/>
              <w:suppressLineNumbers w:val="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项目地区规模化养殖场户（肉羊年出栏100只以上、肉牛年出栏50头以上、奶牛年存栏100头以</w:t>
            </w:r>
          </w:p>
        </w:tc>
        <w:tc>
          <w:tcPr>
            <w:tcW w:w="6091" w:type="dxa"/>
            <w:vAlign w:val="center"/>
          </w:tcPr>
          <w:p w14:paraId="44129A9F">
            <w:pPr>
              <w:keepNext w:val="0"/>
              <w:keepLines w:val="0"/>
              <w:widowControl/>
              <w:suppressLineNumbers w:val="0"/>
              <w:jc w:val="left"/>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超过50%（含）以上得5分；达不到50%的，每少5%扣0.5分。</w:t>
            </w:r>
          </w:p>
        </w:tc>
        <w:tc>
          <w:tcPr>
            <w:tcW w:w="727" w:type="dxa"/>
            <w:vAlign w:val="center"/>
          </w:tcPr>
          <w:p w14:paraId="2BF0623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12" w:type="dxa"/>
            <w:vAlign w:val="center"/>
          </w:tcPr>
          <w:p w14:paraId="1893D08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r>
      <w:tr w14:paraId="7E62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vMerge w:val="restart"/>
            <w:vAlign w:val="center"/>
          </w:tcPr>
          <w:p w14:paraId="5879BA6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序</w:t>
            </w:r>
          </w:p>
          <w:p w14:paraId="680C974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号</w:t>
            </w:r>
          </w:p>
        </w:tc>
        <w:tc>
          <w:tcPr>
            <w:tcW w:w="2274" w:type="dxa"/>
            <w:gridSpan w:val="3"/>
            <w:vAlign w:val="center"/>
          </w:tcPr>
          <w:p w14:paraId="15B66D9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评价指标</w:t>
            </w:r>
          </w:p>
        </w:tc>
        <w:tc>
          <w:tcPr>
            <w:tcW w:w="632" w:type="dxa"/>
            <w:vMerge w:val="restart"/>
            <w:vAlign w:val="center"/>
          </w:tcPr>
          <w:p w14:paraId="26E87E0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分值</w:t>
            </w:r>
          </w:p>
        </w:tc>
        <w:tc>
          <w:tcPr>
            <w:tcW w:w="3186" w:type="dxa"/>
            <w:vMerge w:val="restart"/>
            <w:vAlign w:val="center"/>
          </w:tcPr>
          <w:p w14:paraId="3E53E0D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指标解释</w:t>
            </w:r>
          </w:p>
        </w:tc>
        <w:tc>
          <w:tcPr>
            <w:tcW w:w="6091" w:type="dxa"/>
            <w:vMerge w:val="restart"/>
            <w:vAlign w:val="center"/>
          </w:tcPr>
          <w:p w14:paraId="7925BD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评价标准</w:t>
            </w:r>
          </w:p>
        </w:tc>
        <w:tc>
          <w:tcPr>
            <w:tcW w:w="727" w:type="dxa"/>
            <w:vMerge w:val="restart"/>
            <w:vAlign w:val="center"/>
          </w:tcPr>
          <w:p w14:paraId="201F12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自评依据</w:t>
            </w:r>
          </w:p>
        </w:tc>
        <w:tc>
          <w:tcPr>
            <w:tcW w:w="712" w:type="dxa"/>
            <w:vMerge w:val="restart"/>
            <w:vAlign w:val="center"/>
          </w:tcPr>
          <w:p w14:paraId="581842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自评分数</w:t>
            </w:r>
          </w:p>
        </w:tc>
      </w:tr>
      <w:tr w14:paraId="58AC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vMerge w:val="continue"/>
            <w:vAlign w:val="center"/>
          </w:tcPr>
          <w:p w14:paraId="7671F8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27" w:type="dxa"/>
            <w:vAlign w:val="center"/>
          </w:tcPr>
          <w:p w14:paraId="2A06038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一级</w:t>
            </w:r>
          </w:p>
          <w:p w14:paraId="7ABC35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指标</w:t>
            </w:r>
          </w:p>
        </w:tc>
        <w:tc>
          <w:tcPr>
            <w:tcW w:w="780" w:type="dxa"/>
            <w:vAlign w:val="center"/>
          </w:tcPr>
          <w:p w14:paraId="2142590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二级</w:t>
            </w:r>
          </w:p>
          <w:p w14:paraId="17311C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指标</w:t>
            </w:r>
          </w:p>
        </w:tc>
        <w:tc>
          <w:tcPr>
            <w:tcW w:w="767" w:type="dxa"/>
            <w:vAlign w:val="center"/>
          </w:tcPr>
          <w:p w14:paraId="3F5980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三级</w:t>
            </w:r>
          </w:p>
          <w:p w14:paraId="509CFE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指标</w:t>
            </w:r>
          </w:p>
        </w:tc>
        <w:tc>
          <w:tcPr>
            <w:tcW w:w="632" w:type="dxa"/>
            <w:vMerge w:val="continue"/>
            <w:vAlign w:val="center"/>
          </w:tcPr>
          <w:p w14:paraId="0920BA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3186" w:type="dxa"/>
            <w:vMerge w:val="continue"/>
            <w:vAlign w:val="center"/>
          </w:tcPr>
          <w:p w14:paraId="6C734BE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6091" w:type="dxa"/>
            <w:vMerge w:val="continue"/>
            <w:vAlign w:val="center"/>
          </w:tcPr>
          <w:p w14:paraId="12EFD51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27" w:type="dxa"/>
            <w:vMerge w:val="continue"/>
            <w:vAlign w:val="center"/>
          </w:tcPr>
          <w:p w14:paraId="5879FEE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12" w:type="dxa"/>
            <w:vMerge w:val="continue"/>
            <w:vAlign w:val="center"/>
          </w:tcPr>
          <w:p w14:paraId="668EB3A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r>
      <w:tr w14:paraId="1551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vAlign w:val="center"/>
          </w:tcPr>
          <w:p w14:paraId="020546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p>
        </w:tc>
        <w:tc>
          <w:tcPr>
            <w:tcW w:w="727" w:type="dxa"/>
            <w:vMerge w:val="restart"/>
            <w:vAlign w:val="center"/>
          </w:tcPr>
          <w:p w14:paraId="3BFAF0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产出</w:t>
            </w:r>
          </w:p>
        </w:tc>
        <w:tc>
          <w:tcPr>
            <w:tcW w:w="780" w:type="dxa"/>
            <w:vMerge w:val="restart"/>
            <w:vAlign w:val="center"/>
          </w:tcPr>
          <w:p w14:paraId="6DB24E3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质量指标</w:t>
            </w:r>
          </w:p>
        </w:tc>
        <w:tc>
          <w:tcPr>
            <w:tcW w:w="767" w:type="dxa"/>
            <w:vAlign w:val="center"/>
          </w:tcPr>
          <w:p w14:paraId="4CD48A8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p>
        </w:tc>
        <w:tc>
          <w:tcPr>
            <w:tcW w:w="632" w:type="dxa"/>
            <w:vAlign w:val="center"/>
          </w:tcPr>
          <w:p w14:paraId="7A89EB2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p>
        </w:tc>
        <w:tc>
          <w:tcPr>
            <w:tcW w:w="3186" w:type="dxa"/>
            <w:vAlign w:val="center"/>
          </w:tcPr>
          <w:p w14:paraId="0F5A065A">
            <w:pPr>
              <w:keepNext w:val="0"/>
              <w:keepLines w:val="0"/>
              <w:widowControl/>
              <w:suppressLineNumbers w:val="0"/>
              <w:jc w:val="both"/>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
              </w:rPr>
              <w:t>上）和专业收贮主体收贮量占收贮总量的比例。</w:t>
            </w:r>
          </w:p>
        </w:tc>
        <w:tc>
          <w:tcPr>
            <w:tcW w:w="6091" w:type="dxa"/>
            <w:vAlign w:val="center"/>
          </w:tcPr>
          <w:p w14:paraId="295F48CE">
            <w:pPr>
              <w:keepNext w:val="0"/>
              <w:keepLines w:val="0"/>
              <w:widowControl/>
              <w:suppressLineNumbers w:val="0"/>
              <w:jc w:val="both"/>
              <w:rPr>
                <w:rFonts w:hint="eastAsia" w:ascii="仿宋_GB2312" w:hAnsi="仿宋_GB2312" w:eastAsia="仿宋_GB2312" w:cs="仿宋_GB2312"/>
                <w:sz w:val="20"/>
                <w:szCs w:val="20"/>
                <w:vertAlign w:val="baseline"/>
              </w:rPr>
            </w:pPr>
          </w:p>
        </w:tc>
        <w:tc>
          <w:tcPr>
            <w:tcW w:w="727" w:type="dxa"/>
            <w:vAlign w:val="center"/>
          </w:tcPr>
          <w:p w14:paraId="07A705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12" w:type="dxa"/>
            <w:vAlign w:val="center"/>
          </w:tcPr>
          <w:p w14:paraId="44766C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r>
      <w:tr w14:paraId="1D27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vAlign w:val="center"/>
          </w:tcPr>
          <w:p w14:paraId="4F5F02B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17</w:t>
            </w:r>
          </w:p>
        </w:tc>
        <w:tc>
          <w:tcPr>
            <w:tcW w:w="727" w:type="dxa"/>
            <w:vMerge w:val="continue"/>
            <w:tcBorders/>
            <w:vAlign w:val="center"/>
          </w:tcPr>
          <w:p w14:paraId="759C2ED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80" w:type="dxa"/>
            <w:vMerge w:val="continue"/>
            <w:tcBorders/>
            <w:vAlign w:val="center"/>
          </w:tcPr>
          <w:p w14:paraId="4A60946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67" w:type="dxa"/>
            <w:vAlign w:val="center"/>
          </w:tcPr>
          <w:p w14:paraId="1F4C6CEB">
            <w:pPr>
              <w:keepNext w:val="0"/>
              <w:keepLines w:val="0"/>
              <w:widowControl/>
              <w:suppressLineNumbers w:val="0"/>
              <w:jc w:val="center"/>
              <w:rPr>
                <w:rFonts w:hint="eastAsia" w:ascii="仿宋_GB2312" w:hAnsi="仿宋_GB2312" w:eastAsia="仿宋_GB2312" w:cs="仿宋_GB2312"/>
                <w:spacing w:val="-20"/>
                <w:sz w:val="20"/>
                <w:szCs w:val="20"/>
                <w:vertAlign w:val="baseline"/>
                <w:lang w:val="en-US" w:eastAsia="zh-CN"/>
              </w:rPr>
            </w:pPr>
            <w:r>
              <w:rPr>
                <w:rFonts w:hint="eastAsia" w:ascii="仿宋_GB2312" w:hAnsi="仿宋_GB2312" w:eastAsia="仿宋_GB2312" w:cs="仿宋_GB2312"/>
                <w:color w:val="000000"/>
                <w:spacing w:val="-20"/>
                <w:kern w:val="0"/>
                <w:sz w:val="20"/>
                <w:szCs w:val="20"/>
                <w:lang w:val="en-US" w:eastAsia="zh-CN" w:bidi="ar"/>
              </w:rPr>
              <w:t>收贮专业化发展水平</w:t>
            </w:r>
          </w:p>
        </w:tc>
        <w:tc>
          <w:tcPr>
            <w:tcW w:w="632" w:type="dxa"/>
            <w:vAlign w:val="center"/>
          </w:tcPr>
          <w:p w14:paraId="383D68F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color w:val="000000"/>
                <w:kern w:val="0"/>
                <w:sz w:val="20"/>
                <w:szCs w:val="20"/>
                <w:lang w:val="en-US" w:eastAsia="zh-CN" w:bidi="ar"/>
              </w:rPr>
              <w:t>3</w:t>
            </w:r>
          </w:p>
        </w:tc>
        <w:tc>
          <w:tcPr>
            <w:tcW w:w="3186" w:type="dxa"/>
            <w:vAlign w:val="center"/>
          </w:tcPr>
          <w:p w14:paraId="61BD5369">
            <w:pPr>
              <w:keepNext w:val="0"/>
              <w:keepLines w:val="0"/>
              <w:widowControl/>
              <w:suppressLineNumbers w:val="0"/>
              <w:jc w:val="both"/>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
              </w:rPr>
              <w:t>专业收贮主体收贮量较上年度提高比例。</w:t>
            </w:r>
          </w:p>
        </w:tc>
        <w:tc>
          <w:tcPr>
            <w:tcW w:w="6091" w:type="dxa"/>
            <w:vAlign w:val="center"/>
          </w:tcPr>
          <w:p w14:paraId="342ED0AB">
            <w:pPr>
              <w:keepNext w:val="0"/>
              <w:keepLines w:val="0"/>
              <w:widowControl/>
              <w:suppressLineNumbers w:val="0"/>
              <w:jc w:val="both"/>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
              </w:rPr>
              <w:t>提高10%（含）以上得3分，提高5%（含）至10%得1分，否则不得分。</w:t>
            </w:r>
          </w:p>
        </w:tc>
        <w:tc>
          <w:tcPr>
            <w:tcW w:w="727" w:type="dxa"/>
            <w:vAlign w:val="center"/>
          </w:tcPr>
          <w:p w14:paraId="497EC8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12" w:type="dxa"/>
            <w:vAlign w:val="center"/>
          </w:tcPr>
          <w:p w14:paraId="6ED8105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r>
      <w:tr w14:paraId="497E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552" w:type="dxa"/>
            <w:vAlign w:val="center"/>
          </w:tcPr>
          <w:p w14:paraId="07DA997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18</w:t>
            </w:r>
          </w:p>
        </w:tc>
        <w:tc>
          <w:tcPr>
            <w:tcW w:w="727" w:type="dxa"/>
            <w:vMerge w:val="continue"/>
            <w:tcBorders/>
            <w:vAlign w:val="center"/>
          </w:tcPr>
          <w:p w14:paraId="40089D1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80" w:type="dxa"/>
            <w:vMerge w:val="continue"/>
            <w:tcBorders/>
            <w:vAlign w:val="center"/>
          </w:tcPr>
          <w:p w14:paraId="1EA80A8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p>
        </w:tc>
        <w:tc>
          <w:tcPr>
            <w:tcW w:w="767" w:type="dxa"/>
            <w:vAlign w:val="center"/>
          </w:tcPr>
          <w:p w14:paraId="41D27610">
            <w:pPr>
              <w:keepNext w:val="0"/>
              <w:keepLines w:val="0"/>
              <w:widowControl/>
              <w:suppressLineNumbers w:val="0"/>
              <w:jc w:val="center"/>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color w:val="000000"/>
                <w:spacing w:val="-20"/>
                <w:kern w:val="0"/>
                <w:sz w:val="20"/>
                <w:szCs w:val="20"/>
                <w:lang w:val="en-US" w:eastAsia="zh-CN" w:bidi="ar"/>
              </w:rPr>
              <w:t>种养结合紧密度</w:t>
            </w:r>
          </w:p>
        </w:tc>
        <w:tc>
          <w:tcPr>
            <w:tcW w:w="632" w:type="dxa"/>
            <w:vAlign w:val="center"/>
          </w:tcPr>
          <w:p w14:paraId="76A3B35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5</w:t>
            </w:r>
          </w:p>
        </w:tc>
        <w:tc>
          <w:tcPr>
            <w:tcW w:w="3186" w:type="dxa"/>
            <w:vAlign w:val="center"/>
          </w:tcPr>
          <w:p w14:paraId="6457EBFE">
            <w:pPr>
              <w:keepNext w:val="0"/>
              <w:keepLines w:val="0"/>
              <w:widowControl/>
              <w:suppressLineNumbers w:val="0"/>
              <w:jc w:val="both"/>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
              </w:rPr>
              <w:t>收贮主体通过流转土地自种、与种植户签订订单等方式收贮量占总收贮量比例。</w:t>
            </w:r>
          </w:p>
        </w:tc>
        <w:tc>
          <w:tcPr>
            <w:tcW w:w="6091" w:type="dxa"/>
            <w:vAlign w:val="center"/>
          </w:tcPr>
          <w:p w14:paraId="6F6A7D2E">
            <w:pPr>
              <w:keepNext w:val="0"/>
              <w:keepLines w:val="0"/>
              <w:widowControl/>
              <w:suppressLineNumbers w:val="0"/>
              <w:jc w:val="both"/>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color w:val="000000"/>
                <w:kern w:val="0"/>
                <w:sz w:val="20"/>
                <w:szCs w:val="20"/>
                <w:lang w:val="en-US" w:eastAsia="zh-CN" w:bidi="ar"/>
              </w:rPr>
              <w:t>超过50%（含）以上得5分；达不到50%的，每少5%扣0.5分。</w:t>
            </w:r>
          </w:p>
        </w:tc>
        <w:tc>
          <w:tcPr>
            <w:tcW w:w="727" w:type="dxa"/>
            <w:vAlign w:val="center"/>
          </w:tcPr>
          <w:p w14:paraId="521C0E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12" w:type="dxa"/>
            <w:vAlign w:val="center"/>
          </w:tcPr>
          <w:p w14:paraId="7B4009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r>
      <w:tr w14:paraId="0084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vAlign w:val="center"/>
          </w:tcPr>
          <w:p w14:paraId="04D5B6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19</w:t>
            </w:r>
          </w:p>
        </w:tc>
        <w:tc>
          <w:tcPr>
            <w:tcW w:w="727" w:type="dxa"/>
            <w:vMerge w:val="restart"/>
            <w:tcBorders/>
            <w:vAlign w:val="center"/>
          </w:tcPr>
          <w:p w14:paraId="7F2A1C1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效果</w:t>
            </w:r>
          </w:p>
        </w:tc>
        <w:tc>
          <w:tcPr>
            <w:tcW w:w="780" w:type="dxa"/>
            <w:vMerge w:val="restart"/>
            <w:tcBorders/>
            <w:vAlign w:val="center"/>
          </w:tcPr>
          <w:p w14:paraId="0552F568">
            <w:pPr>
              <w:keepNext w:val="0"/>
              <w:keepLines w:val="0"/>
              <w:widowControl/>
              <w:suppressLineNumbers w:val="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经济效益</w:t>
            </w:r>
          </w:p>
          <w:p w14:paraId="30ABB3E3">
            <w:pPr>
              <w:keepNext w:val="0"/>
              <w:keepLines w:val="0"/>
              <w:widowControl/>
              <w:suppressLineNumbers w:val="0"/>
              <w:jc w:val="center"/>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
              </w:rPr>
              <w:t>指标</w:t>
            </w:r>
          </w:p>
        </w:tc>
        <w:tc>
          <w:tcPr>
            <w:tcW w:w="767" w:type="dxa"/>
            <w:vAlign w:val="center"/>
          </w:tcPr>
          <w:p w14:paraId="1E86AA1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种植效益</w:t>
            </w:r>
          </w:p>
        </w:tc>
        <w:tc>
          <w:tcPr>
            <w:tcW w:w="632" w:type="dxa"/>
            <w:vAlign w:val="center"/>
          </w:tcPr>
          <w:p w14:paraId="0613FF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6</w:t>
            </w:r>
          </w:p>
        </w:tc>
        <w:tc>
          <w:tcPr>
            <w:tcW w:w="3186" w:type="dxa"/>
            <w:vAlign w:val="center"/>
          </w:tcPr>
          <w:p w14:paraId="07FEDDCC">
            <w:pPr>
              <w:keepNext w:val="0"/>
              <w:keepLines w:val="0"/>
              <w:widowControl/>
              <w:suppressLineNumbers w:val="0"/>
              <w:jc w:val="both"/>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
              </w:rPr>
              <w:t>种植优质青贮饲草料，亩均纯收入较种植籽粒玉米提高比例。</w:t>
            </w:r>
          </w:p>
        </w:tc>
        <w:tc>
          <w:tcPr>
            <w:tcW w:w="6091" w:type="dxa"/>
            <w:vAlign w:val="center"/>
          </w:tcPr>
          <w:p w14:paraId="0BD2182B">
            <w:pPr>
              <w:keepNext w:val="0"/>
              <w:keepLines w:val="0"/>
              <w:widowControl/>
              <w:suppressLineNumbers w:val="0"/>
              <w:jc w:val="both"/>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
              </w:rPr>
              <w:t>提高10%（含）以上得6分；低于10%的，按提高比例除以10%乘以6分计分，未提高不得分。</w:t>
            </w:r>
          </w:p>
        </w:tc>
        <w:tc>
          <w:tcPr>
            <w:tcW w:w="727" w:type="dxa"/>
            <w:vAlign w:val="center"/>
          </w:tcPr>
          <w:p w14:paraId="0EB5E32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12" w:type="dxa"/>
            <w:vAlign w:val="center"/>
          </w:tcPr>
          <w:p w14:paraId="769834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r>
      <w:tr w14:paraId="06F6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vAlign w:val="center"/>
          </w:tcPr>
          <w:p w14:paraId="24A516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20</w:t>
            </w:r>
          </w:p>
        </w:tc>
        <w:tc>
          <w:tcPr>
            <w:tcW w:w="727" w:type="dxa"/>
            <w:vMerge w:val="continue"/>
            <w:tcBorders/>
            <w:vAlign w:val="center"/>
          </w:tcPr>
          <w:p w14:paraId="0BA2600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80" w:type="dxa"/>
            <w:vMerge w:val="continue"/>
            <w:tcBorders/>
            <w:vAlign w:val="center"/>
          </w:tcPr>
          <w:p w14:paraId="2A0AF97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p>
        </w:tc>
        <w:tc>
          <w:tcPr>
            <w:tcW w:w="767" w:type="dxa"/>
            <w:vAlign w:val="center"/>
          </w:tcPr>
          <w:p w14:paraId="50703E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养殖效益</w:t>
            </w:r>
          </w:p>
        </w:tc>
        <w:tc>
          <w:tcPr>
            <w:tcW w:w="632" w:type="dxa"/>
            <w:vAlign w:val="center"/>
          </w:tcPr>
          <w:p w14:paraId="3F79ECD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6</w:t>
            </w:r>
          </w:p>
        </w:tc>
        <w:tc>
          <w:tcPr>
            <w:tcW w:w="3186" w:type="dxa"/>
            <w:vAlign w:val="center"/>
          </w:tcPr>
          <w:p w14:paraId="1EC3241C">
            <w:pPr>
              <w:keepNext w:val="0"/>
              <w:keepLines w:val="0"/>
              <w:widowControl/>
              <w:suppressLineNumbers w:val="0"/>
              <w:jc w:val="both"/>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
              </w:rPr>
              <w:t>使用优质青贮饲草料，较未使用前或与同地区未使用的相比，综合饲料成本下降比例。</w:t>
            </w:r>
          </w:p>
        </w:tc>
        <w:tc>
          <w:tcPr>
            <w:tcW w:w="6091" w:type="dxa"/>
            <w:vAlign w:val="center"/>
          </w:tcPr>
          <w:p w14:paraId="5B55C5D8">
            <w:pPr>
              <w:keepNext w:val="0"/>
              <w:keepLines w:val="0"/>
              <w:widowControl/>
              <w:suppressLineNumbers w:val="0"/>
              <w:jc w:val="both"/>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
              </w:rPr>
              <w:t>下降5%（含）以上得6分；低于5%的，按下降比例除以5%乘以6分计分，未下降不得分。</w:t>
            </w:r>
          </w:p>
        </w:tc>
        <w:tc>
          <w:tcPr>
            <w:tcW w:w="727" w:type="dxa"/>
            <w:vAlign w:val="center"/>
          </w:tcPr>
          <w:p w14:paraId="329383D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12" w:type="dxa"/>
            <w:vAlign w:val="center"/>
          </w:tcPr>
          <w:p w14:paraId="5358A28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r>
      <w:tr w14:paraId="2929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vAlign w:val="center"/>
          </w:tcPr>
          <w:p w14:paraId="7896D99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21</w:t>
            </w:r>
          </w:p>
        </w:tc>
        <w:tc>
          <w:tcPr>
            <w:tcW w:w="727" w:type="dxa"/>
            <w:vMerge w:val="continue"/>
            <w:tcBorders/>
            <w:vAlign w:val="center"/>
          </w:tcPr>
          <w:p w14:paraId="23F9D0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80" w:type="dxa"/>
            <w:tcBorders/>
            <w:vAlign w:val="center"/>
          </w:tcPr>
          <w:p w14:paraId="24F79FB1">
            <w:pPr>
              <w:keepNext w:val="0"/>
              <w:keepLines w:val="0"/>
              <w:widowControl/>
              <w:suppressLineNumbers w:val="0"/>
              <w:jc w:val="center"/>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color w:val="000000"/>
                <w:spacing w:val="-20"/>
                <w:kern w:val="0"/>
                <w:sz w:val="20"/>
                <w:szCs w:val="20"/>
                <w:lang w:val="en-US" w:eastAsia="zh-CN" w:bidi="ar"/>
              </w:rPr>
              <w:t>服务对象满意度指标</w:t>
            </w:r>
          </w:p>
        </w:tc>
        <w:tc>
          <w:tcPr>
            <w:tcW w:w="767" w:type="dxa"/>
            <w:vAlign w:val="center"/>
          </w:tcPr>
          <w:p w14:paraId="3C08330C">
            <w:pPr>
              <w:keepNext w:val="0"/>
              <w:keepLines w:val="0"/>
              <w:widowControl/>
              <w:suppressLineNumbers w:val="0"/>
              <w:jc w:val="center"/>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color w:val="000000"/>
                <w:spacing w:val="-20"/>
                <w:kern w:val="0"/>
                <w:sz w:val="20"/>
                <w:szCs w:val="20"/>
                <w:lang w:val="en-US" w:eastAsia="zh-CN" w:bidi="ar"/>
              </w:rPr>
              <w:t>相关主体对政策的满意度</w:t>
            </w:r>
          </w:p>
        </w:tc>
        <w:tc>
          <w:tcPr>
            <w:tcW w:w="632" w:type="dxa"/>
            <w:vAlign w:val="center"/>
          </w:tcPr>
          <w:p w14:paraId="1D036AC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10</w:t>
            </w:r>
          </w:p>
        </w:tc>
        <w:tc>
          <w:tcPr>
            <w:tcW w:w="3186" w:type="dxa"/>
            <w:vAlign w:val="center"/>
          </w:tcPr>
          <w:p w14:paraId="0CE5AB47">
            <w:pPr>
              <w:keepNext w:val="0"/>
              <w:keepLines w:val="0"/>
              <w:widowControl/>
              <w:suppressLineNumbers w:val="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反映相关主体（收贮户、种植户和养殖户）对“粮改饲”政策的满意程度，用百分比来衡量，数据通过问卷调查形式获得。</w:t>
            </w:r>
          </w:p>
        </w:tc>
        <w:tc>
          <w:tcPr>
            <w:tcW w:w="6091" w:type="dxa"/>
            <w:vAlign w:val="center"/>
          </w:tcPr>
          <w:p w14:paraId="1795955A">
            <w:pPr>
              <w:keepNext w:val="0"/>
              <w:keepLines w:val="0"/>
              <w:widowControl/>
              <w:suppressLineNumbers w:val="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得分=调查问卷满意度×10分。</w:t>
            </w:r>
          </w:p>
        </w:tc>
        <w:tc>
          <w:tcPr>
            <w:tcW w:w="727" w:type="dxa"/>
            <w:vAlign w:val="center"/>
          </w:tcPr>
          <w:p w14:paraId="3A7242E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12" w:type="dxa"/>
            <w:vAlign w:val="center"/>
          </w:tcPr>
          <w:p w14:paraId="749FF8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r>
      <w:tr w14:paraId="6429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vAlign w:val="center"/>
          </w:tcPr>
          <w:p w14:paraId="74C14EB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22</w:t>
            </w:r>
          </w:p>
        </w:tc>
        <w:tc>
          <w:tcPr>
            <w:tcW w:w="727" w:type="dxa"/>
            <w:tcBorders/>
            <w:vAlign w:val="center"/>
          </w:tcPr>
          <w:p w14:paraId="4021C5E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80" w:type="dxa"/>
            <w:tcBorders/>
            <w:vAlign w:val="center"/>
          </w:tcPr>
          <w:p w14:paraId="407AC45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违规违纪</w:t>
            </w:r>
          </w:p>
        </w:tc>
        <w:tc>
          <w:tcPr>
            <w:tcW w:w="767" w:type="dxa"/>
            <w:vAlign w:val="center"/>
          </w:tcPr>
          <w:p w14:paraId="35C98C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违规违纪</w:t>
            </w:r>
          </w:p>
        </w:tc>
        <w:tc>
          <w:tcPr>
            <w:tcW w:w="632" w:type="dxa"/>
            <w:vAlign w:val="center"/>
          </w:tcPr>
          <w:p w14:paraId="39040DC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4</w:t>
            </w:r>
          </w:p>
        </w:tc>
        <w:tc>
          <w:tcPr>
            <w:tcW w:w="3186" w:type="dxa"/>
            <w:vAlign w:val="center"/>
          </w:tcPr>
          <w:p w14:paraId="3C59D621">
            <w:pPr>
              <w:keepNext w:val="0"/>
              <w:keepLines w:val="0"/>
              <w:widowControl/>
              <w:suppressLineNumbers w:val="0"/>
              <w:jc w:val="both"/>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
              </w:rPr>
              <w:t>项目实施过程中是否存在违规违纪行为。</w:t>
            </w:r>
          </w:p>
        </w:tc>
        <w:tc>
          <w:tcPr>
            <w:tcW w:w="6091" w:type="dxa"/>
            <w:vAlign w:val="center"/>
          </w:tcPr>
          <w:p w14:paraId="601E9B3C">
            <w:pPr>
              <w:keepNext w:val="0"/>
              <w:keepLines w:val="0"/>
              <w:widowControl/>
              <w:suppressLineNumbers w:val="0"/>
              <w:jc w:val="both"/>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
              </w:rPr>
              <w:t>被监察、审计、财政监督等机构查出存在违规违纪行为的，一次性扣15-30分，造成严重负面影响的，评分为0。</w:t>
            </w:r>
          </w:p>
        </w:tc>
        <w:tc>
          <w:tcPr>
            <w:tcW w:w="727" w:type="dxa"/>
            <w:vAlign w:val="center"/>
          </w:tcPr>
          <w:p w14:paraId="2AF333C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12" w:type="dxa"/>
            <w:vAlign w:val="center"/>
          </w:tcPr>
          <w:p w14:paraId="7D6896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r>
      <w:tr w14:paraId="74ED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6" w:type="dxa"/>
            <w:gridSpan w:val="4"/>
            <w:vAlign w:val="center"/>
          </w:tcPr>
          <w:p w14:paraId="3DBE934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合计</w:t>
            </w:r>
          </w:p>
        </w:tc>
        <w:tc>
          <w:tcPr>
            <w:tcW w:w="632" w:type="dxa"/>
            <w:vAlign w:val="center"/>
          </w:tcPr>
          <w:p w14:paraId="1D2AB84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lang w:val="en-US" w:eastAsia="zh-CN"/>
              </w:rPr>
            </w:pPr>
          </w:p>
        </w:tc>
        <w:tc>
          <w:tcPr>
            <w:tcW w:w="3186" w:type="dxa"/>
            <w:vAlign w:val="center"/>
          </w:tcPr>
          <w:p w14:paraId="14E8B631">
            <w:pPr>
              <w:keepNext w:val="0"/>
              <w:keepLines w:val="0"/>
              <w:widowControl/>
              <w:suppressLineNumbers w:val="0"/>
              <w:jc w:val="left"/>
              <w:rPr>
                <w:rFonts w:hint="eastAsia" w:ascii="仿宋_GB2312" w:hAnsi="仿宋_GB2312" w:eastAsia="仿宋_GB2312" w:cs="仿宋_GB2312"/>
                <w:color w:val="000000"/>
                <w:kern w:val="0"/>
                <w:sz w:val="20"/>
                <w:szCs w:val="20"/>
                <w:lang w:val="en-US" w:eastAsia="zh-CN" w:bidi="ar"/>
              </w:rPr>
            </w:pPr>
          </w:p>
        </w:tc>
        <w:tc>
          <w:tcPr>
            <w:tcW w:w="6091" w:type="dxa"/>
            <w:vAlign w:val="center"/>
          </w:tcPr>
          <w:p w14:paraId="6AFD895A">
            <w:pPr>
              <w:keepNext w:val="0"/>
              <w:keepLines w:val="0"/>
              <w:widowControl/>
              <w:suppressLineNumbers w:val="0"/>
              <w:jc w:val="left"/>
              <w:rPr>
                <w:rFonts w:hint="eastAsia" w:ascii="仿宋_GB2312" w:hAnsi="仿宋_GB2312" w:eastAsia="仿宋_GB2312" w:cs="仿宋_GB2312"/>
                <w:color w:val="000000"/>
                <w:kern w:val="0"/>
                <w:sz w:val="20"/>
                <w:szCs w:val="20"/>
                <w:lang w:val="en-US" w:eastAsia="zh-CN" w:bidi="ar"/>
              </w:rPr>
            </w:pPr>
          </w:p>
        </w:tc>
        <w:tc>
          <w:tcPr>
            <w:tcW w:w="727" w:type="dxa"/>
            <w:vAlign w:val="center"/>
          </w:tcPr>
          <w:p w14:paraId="15BF6C0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c>
          <w:tcPr>
            <w:tcW w:w="712" w:type="dxa"/>
            <w:vAlign w:val="center"/>
          </w:tcPr>
          <w:p w14:paraId="03F756F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vertAlign w:val="baseline"/>
              </w:rPr>
            </w:pPr>
          </w:p>
        </w:tc>
      </w:tr>
    </w:tbl>
    <w:p w14:paraId="27B94E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2"/>
          <w:szCs w:val="28"/>
          <w:lang w:eastAsia="zh-CN"/>
        </w:rPr>
      </w:pPr>
      <w:r>
        <w:rPr>
          <w:rFonts w:hint="eastAsia" w:ascii="仿宋_GB2312" w:hAnsi="仿宋_GB2312" w:eastAsia="仿宋_GB2312" w:cs="仿宋_GB2312"/>
          <w:sz w:val="22"/>
          <w:szCs w:val="28"/>
          <w:lang w:eastAsia="zh-CN"/>
        </w:rPr>
        <w:t>注：①自评依据一栏应根据评分标准详细说明指标完成情况和相应工作开展情况。</w:t>
      </w:r>
    </w:p>
    <w:p w14:paraId="69AFC167">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eastAsiaTheme="minorEastAsia"/>
          <w:lang w:eastAsia="zh-CN"/>
        </w:rPr>
      </w:pPr>
      <w:r>
        <w:rPr>
          <w:rFonts w:hint="eastAsia" w:ascii="仿宋_GB2312" w:hAnsi="仿宋_GB2312" w:eastAsia="仿宋_GB2312" w:cs="仿宋_GB2312"/>
          <w:sz w:val="22"/>
          <w:szCs w:val="28"/>
          <w:lang w:eastAsia="zh-CN"/>
        </w:rPr>
        <w:t>②请将相关证明材料随本表一起报送省畜牧业管理局和省财政厅，相关证明材料指为完成指标、开展工作出台的通知、办法、制度以及其他能够证明工作成效的文件。</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NjUwNTQ1MDY2ZjliYTE2ZDM0YjljOTc5NDBmM2UifQ=="/>
  </w:docVars>
  <w:rsids>
    <w:rsidRoot w:val="00000000"/>
    <w:rsid w:val="426305D7"/>
    <w:rsid w:val="7CCC3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Words>
  <Characters>25</Characters>
  <Lines>0</Lines>
  <Paragraphs>0</Paragraphs>
  <TotalTime>62</TotalTime>
  <ScaleCrop>false</ScaleCrop>
  <LinksUpToDate>false</LinksUpToDate>
  <CharactersWithSpaces>25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2024-07-29T08:16:00Z</dcterms:created>
  <dc:creator>lk</dc:creator>
  <cp:lastModifiedBy>猫王</cp:lastModifiedBy>
  <dcterms:modified xsi:type="dcterms:W3CDTF">2024-07-30T01:46:04Z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7A3404E87B2340D6953E66C3E93DF43E_12</vt:lpwstr>
  </property>
</Properties>
</file>